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505" w:type="dxa"/>
        <w:tblInd w:w="108" w:type="dxa"/>
        <w:tblLook w:val="01E0"/>
      </w:tblPr>
      <w:tblGrid>
        <w:gridCol w:w="8505"/>
      </w:tblGrid>
      <w:tr w:rsidR="001E1418" w:rsidTr="00F07BFF">
        <w:trPr>
          <w:trHeight w:hRule="exact" w:val="624"/>
        </w:trPr>
        <w:tc>
          <w:tcPr>
            <w:tcW w:w="8505" w:type="dxa"/>
          </w:tcPr>
          <w:p w:rsidR="001E1418" w:rsidRDefault="001E1418" w:rsidP="00F07BFF">
            <w:pPr>
              <w:jc w:val="right"/>
            </w:pPr>
          </w:p>
        </w:tc>
      </w:tr>
      <w:tr w:rsidR="001E1418" w:rsidTr="00F07BFF">
        <w:trPr>
          <w:trHeight w:val="539"/>
        </w:trPr>
        <w:tc>
          <w:tcPr>
            <w:tcW w:w="8505" w:type="dxa"/>
            <w:tcBorders>
              <w:bottom w:val="single" w:sz="4" w:space="0" w:color="auto"/>
            </w:tcBorders>
            <w:tcMar>
              <w:left w:w="0" w:type="dxa"/>
              <w:bottom w:w="85" w:type="dxa"/>
            </w:tcMar>
          </w:tcPr>
          <w:p w:rsidR="001E1418" w:rsidRDefault="001E1418" w:rsidP="00F07BFF">
            <w:pPr>
              <w:pStyle w:val="BBDTitel"/>
              <w:jc w:val="both"/>
            </w:pPr>
          </w:p>
          <w:p w:rsidR="001E1418" w:rsidRDefault="001E1418" w:rsidP="00F07BFF">
            <w:pPr>
              <w:pStyle w:val="BBDTitel"/>
              <w:jc w:val="both"/>
            </w:pPr>
          </w:p>
          <w:p w:rsidR="001E1418" w:rsidRDefault="001E1418" w:rsidP="00F07BFF">
            <w:pPr>
              <w:pStyle w:val="BBDTitel"/>
              <w:jc w:val="both"/>
            </w:pPr>
          </w:p>
          <w:p w:rsidR="001E1418" w:rsidRDefault="001E1418" w:rsidP="00F07BFF">
            <w:pPr>
              <w:pStyle w:val="BBDTitel"/>
              <w:jc w:val="both"/>
            </w:pPr>
          </w:p>
          <w:p w:rsidR="001E1418" w:rsidRDefault="001E1418" w:rsidP="00F07BFF">
            <w:pPr>
              <w:pStyle w:val="BBDTitel"/>
              <w:jc w:val="both"/>
            </w:pPr>
          </w:p>
          <w:p w:rsidR="001E1418" w:rsidRDefault="001E1418" w:rsidP="00F07BFF">
            <w:pPr>
              <w:pStyle w:val="BBDTitel"/>
              <w:jc w:val="both"/>
            </w:pPr>
          </w:p>
          <w:p w:rsidR="001E1418" w:rsidRDefault="001E1418" w:rsidP="00F07BFF">
            <w:pPr>
              <w:pStyle w:val="BBDTitel"/>
              <w:jc w:val="both"/>
            </w:pPr>
          </w:p>
          <w:p w:rsidR="001E1418" w:rsidRPr="00E91F7C" w:rsidRDefault="001E1418" w:rsidP="00F07BFF">
            <w:pPr>
              <w:pStyle w:val="BBDTitel"/>
              <w:jc w:val="both"/>
            </w:pPr>
            <w:r>
              <w:t>Databehandleraftale</w:t>
            </w:r>
          </w:p>
        </w:tc>
      </w:tr>
      <w:tr w:rsidR="001E1418" w:rsidTr="00F07BFF">
        <w:trPr>
          <w:trHeight w:hRule="exact" w:val="284"/>
        </w:trPr>
        <w:tc>
          <w:tcPr>
            <w:tcW w:w="8505" w:type="dxa"/>
          </w:tcPr>
          <w:p w:rsidR="001E1418" w:rsidRDefault="001E1418" w:rsidP="00F07BFF">
            <w:pPr>
              <w:pStyle w:val="BBDTitel"/>
            </w:pPr>
          </w:p>
        </w:tc>
      </w:tr>
    </w:tbl>
    <w:p w:rsidR="001E1418"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rPr>
          <w:rFonts w:cs="Open Sans"/>
          <w:szCs w:val="20"/>
        </w:rPr>
      </w:pPr>
      <w:bookmarkStart w:id="0" w:name="Begynd"/>
      <w:bookmarkEnd w:id="0"/>
    </w:p>
    <w:p w:rsidR="001E1418"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rPr>
          <w:rFonts w:cs="Open Sans"/>
          <w:szCs w:val="20"/>
        </w:rPr>
      </w:pPr>
    </w:p>
    <w:p w:rsidR="001E1418"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rPr>
          <w:rFonts w:cs="Open Sans"/>
          <w:szCs w:val="20"/>
        </w:rPr>
      </w:pPr>
    </w:p>
    <w:p w:rsidR="001E1418"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rPr>
          <w:rFonts w:cs="Open Sans"/>
          <w:szCs w:val="20"/>
        </w:rPr>
      </w:pPr>
    </w:p>
    <w:p w:rsidR="001E1418"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rPr>
          <w:rFonts w:cs="Open Sans"/>
          <w:szCs w:val="20"/>
        </w:rPr>
      </w:pPr>
    </w:p>
    <w:p w:rsidR="001E1418"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rPr>
          <w:rFonts w:cs="Open Sans"/>
          <w:szCs w:val="20"/>
        </w:rPr>
      </w:pPr>
    </w:p>
    <w:p w:rsidR="001E1418"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rPr>
          <w:rFonts w:cs="Open Sans"/>
          <w:szCs w:val="20"/>
        </w:rPr>
      </w:pPr>
    </w:p>
    <w:p w:rsidR="001E1418"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rPr>
          <w:rFonts w:cs="Open Sans"/>
          <w:szCs w:val="20"/>
        </w:rPr>
      </w:pPr>
    </w:p>
    <w:p w:rsidR="001E1418"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rPr>
          <w:rFonts w:cs="Open Sans"/>
          <w:szCs w:val="20"/>
        </w:rPr>
      </w:pPr>
    </w:p>
    <w:p w:rsidR="001E1418"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rPr>
          <w:rFonts w:cs="Open Sans"/>
          <w:szCs w:val="20"/>
        </w:rPr>
      </w:pPr>
    </w:p>
    <w:p w:rsidR="001E1418"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rPr>
          <w:rFonts w:cs="Open Sans"/>
          <w:szCs w:val="20"/>
        </w:rPr>
      </w:pPr>
    </w:p>
    <w:p w:rsidR="001E1418"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rPr>
          <w:rFonts w:cs="Open Sans"/>
          <w:szCs w:val="20"/>
        </w:rPr>
      </w:pPr>
    </w:p>
    <w:p w:rsidR="001E1418"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rPr>
          <w:rFonts w:cs="Open Sans"/>
          <w:szCs w:val="20"/>
        </w:rPr>
      </w:pPr>
    </w:p>
    <w:p w:rsidR="001E1418"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rPr>
          <w:rFonts w:cs="Open Sans"/>
          <w:szCs w:val="20"/>
        </w:rPr>
      </w:pPr>
    </w:p>
    <w:p w:rsidR="001E1418"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rPr>
          <w:rFonts w:cs="Open Sans"/>
          <w:szCs w:val="20"/>
        </w:rPr>
      </w:pPr>
    </w:p>
    <w:p w:rsidR="001E1418"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rPr>
          <w:rFonts w:cs="Open Sans"/>
          <w:szCs w:val="20"/>
        </w:rPr>
      </w:pPr>
    </w:p>
    <w:p w:rsidR="001E1418"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rPr>
          <w:rFonts w:cs="Open Sans"/>
          <w:szCs w:val="20"/>
        </w:rPr>
      </w:pPr>
    </w:p>
    <w:p w:rsidR="001E1418"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rPr>
          <w:rFonts w:cs="Open Sans"/>
          <w:szCs w:val="20"/>
        </w:rPr>
      </w:pPr>
    </w:p>
    <w:p w:rsidR="001E1418"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rPr>
          <w:rFonts w:cs="Open Sans"/>
          <w:szCs w:val="20"/>
        </w:rPr>
      </w:pPr>
    </w:p>
    <w:p w:rsidR="001E1418"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rPr>
          <w:rFonts w:cs="Open Sans"/>
          <w:szCs w:val="20"/>
        </w:rPr>
      </w:pPr>
    </w:p>
    <w:p w:rsidR="001E1418"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rPr>
          <w:rFonts w:cs="Open Sans"/>
          <w:szCs w:val="20"/>
        </w:rPr>
      </w:pPr>
    </w:p>
    <w:p w:rsidR="001E1418"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rPr>
          <w:rFonts w:cs="Open Sans"/>
          <w:szCs w:val="20"/>
        </w:rPr>
      </w:pPr>
    </w:p>
    <w:p w:rsidR="001E1418"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rPr>
          <w:rFonts w:cs="Open Sans"/>
          <w:szCs w:val="20"/>
        </w:rPr>
      </w:pPr>
    </w:p>
    <w:p w:rsidR="001E1418"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rPr>
          <w:rFonts w:cs="Open Sans"/>
          <w:szCs w:val="20"/>
        </w:rPr>
      </w:pPr>
    </w:p>
    <w:p w:rsidR="001E1418"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rPr>
          <w:rFonts w:cs="Open Sans"/>
          <w:szCs w:val="20"/>
        </w:rPr>
      </w:pPr>
    </w:p>
    <w:p w:rsidR="001E1418"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rPr>
          <w:rFonts w:cs="Open Sans"/>
          <w:szCs w:val="20"/>
        </w:rPr>
      </w:pPr>
    </w:p>
    <w:p w:rsidR="001E1418"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rPr>
          <w:rFonts w:cs="Open Sans"/>
          <w:szCs w:val="20"/>
        </w:rPr>
      </w:pPr>
    </w:p>
    <w:p w:rsidR="001E1418"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rPr>
          <w:rFonts w:cs="Open Sans"/>
          <w:szCs w:val="20"/>
        </w:rPr>
      </w:pPr>
    </w:p>
    <w:p w:rsidR="001E1418"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rPr>
          <w:rFonts w:cs="Open Sans"/>
          <w:szCs w:val="20"/>
        </w:rPr>
      </w:pPr>
    </w:p>
    <w:p w:rsidR="001E1418"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rPr>
          <w:rFonts w:cs="Open Sans"/>
          <w:szCs w:val="20"/>
        </w:rPr>
      </w:pPr>
    </w:p>
    <w:p w:rsidR="001E1418"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jc w:val="left"/>
        <w:rPr>
          <w:rFonts w:cs="Open Sans"/>
          <w:szCs w:val="20"/>
        </w:rPr>
      </w:pPr>
    </w:p>
    <w:p w:rsidR="001E1418" w:rsidRDefault="001E1418">
      <w:pPr>
        <w:tabs>
          <w:tab w:val="clear" w:pos="850"/>
          <w:tab w:val="clear" w:pos="1701"/>
          <w:tab w:val="clear" w:pos="2835"/>
          <w:tab w:val="clear" w:pos="5103"/>
          <w:tab w:val="clear" w:pos="6521"/>
          <w:tab w:val="clear" w:pos="6985"/>
          <w:tab w:val="clear" w:pos="8505"/>
        </w:tabs>
        <w:spacing w:after="200" w:line="276" w:lineRule="auto"/>
        <w:jc w:val="left"/>
      </w:pPr>
      <w:r>
        <w:br w:type="page"/>
      </w:r>
    </w:p>
    <w:p w:rsidR="001E1418" w:rsidRPr="00A139C8" w:rsidRDefault="00A139C8" w:rsidP="00A139C8">
      <w:pPr>
        <w:tabs>
          <w:tab w:val="clear" w:pos="850"/>
          <w:tab w:val="clear" w:pos="1701"/>
          <w:tab w:val="clear" w:pos="2835"/>
          <w:tab w:val="clear" w:pos="5103"/>
          <w:tab w:val="clear" w:pos="6985"/>
          <w:tab w:val="clear" w:pos="8505"/>
          <w:tab w:val="left" w:pos="7088"/>
        </w:tabs>
        <w:autoSpaceDE w:val="0"/>
        <w:autoSpaceDN w:val="0"/>
        <w:adjustRightInd w:val="0"/>
        <w:spacing w:line="240" w:lineRule="auto"/>
        <w:jc w:val="left"/>
        <w:rPr>
          <w:rFonts w:cs="Open Sans"/>
          <w:szCs w:val="20"/>
          <w:highlight w:val="yellow"/>
        </w:rPr>
      </w:pPr>
      <w:r w:rsidRPr="00A139C8">
        <w:rPr>
          <w:rFonts w:cs="Open Sans"/>
          <w:szCs w:val="20"/>
          <w:highlight w:val="yellow"/>
        </w:rPr>
        <w:lastRenderedPageBreak/>
        <w:t>Firma XYZ</w:t>
      </w:r>
    </w:p>
    <w:p w:rsidR="001E1418" w:rsidRPr="00A139C8" w:rsidRDefault="001E1418" w:rsidP="001E1418">
      <w:pPr>
        <w:tabs>
          <w:tab w:val="clear" w:pos="850"/>
          <w:tab w:val="clear" w:pos="1701"/>
          <w:tab w:val="clear" w:pos="2835"/>
          <w:tab w:val="clear" w:pos="5103"/>
          <w:tab w:val="clear" w:pos="6985"/>
          <w:tab w:val="clear" w:pos="8505"/>
          <w:tab w:val="left" w:pos="7088"/>
        </w:tabs>
        <w:autoSpaceDE w:val="0"/>
        <w:autoSpaceDN w:val="0"/>
        <w:adjustRightInd w:val="0"/>
        <w:spacing w:line="240" w:lineRule="auto"/>
        <w:jc w:val="left"/>
        <w:rPr>
          <w:rFonts w:cs="Open Sans"/>
          <w:szCs w:val="20"/>
          <w:highlight w:val="yellow"/>
        </w:rPr>
      </w:pPr>
      <w:proofErr w:type="spellStart"/>
      <w:r w:rsidRPr="00A139C8">
        <w:rPr>
          <w:rFonts w:cs="Open Sans"/>
          <w:szCs w:val="20"/>
          <w:highlight w:val="yellow"/>
        </w:rPr>
        <w:t>CVR.nr</w:t>
      </w:r>
      <w:proofErr w:type="spellEnd"/>
      <w:r w:rsidRPr="00A139C8">
        <w:rPr>
          <w:rFonts w:cs="Open Sans"/>
          <w:szCs w:val="20"/>
          <w:highlight w:val="yellow"/>
        </w:rPr>
        <w:t xml:space="preserve">.: </w:t>
      </w:r>
      <w:r w:rsidR="00A139C8" w:rsidRPr="00A139C8">
        <w:rPr>
          <w:rFonts w:cs="Open Sans"/>
          <w:szCs w:val="20"/>
          <w:highlight w:val="yellow"/>
        </w:rPr>
        <w:t>12345678</w:t>
      </w:r>
    </w:p>
    <w:p w:rsidR="001E1418" w:rsidRPr="00A139C8" w:rsidRDefault="00A139C8" w:rsidP="00A139C8">
      <w:pPr>
        <w:tabs>
          <w:tab w:val="clear" w:pos="850"/>
          <w:tab w:val="clear" w:pos="1701"/>
          <w:tab w:val="clear" w:pos="2835"/>
          <w:tab w:val="clear" w:pos="5103"/>
          <w:tab w:val="clear" w:pos="6521"/>
          <w:tab w:val="clear" w:pos="6985"/>
          <w:tab w:val="clear" w:pos="8505"/>
          <w:tab w:val="right" w:pos="6520"/>
          <w:tab w:val="left" w:pos="7088"/>
        </w:tabs>
        <w:autoSpaceDE w:val="0"/>
        <w:autoSpaceDN w:val="0"/>
        <w:adjustRightInd w:val="0"/>
        <w:spacing w:line="240" w:lineRule="auto"/>
        <w:jc w:val="left"/>
        <w:rPr>
          <w:rFonts w:cs="Open Sans"/>
          <w:szCs w:val="20"/>
          <w:highlight w:val="yellow"/>
        </w:rPr>
      </w:pPr>
      <w:r w:rsidRPr="00A139C8">
        <w:rPr>
          <w:rFonts w:cs="Open Sans"/>
          <w:szCs w:val="20"/>
          <w:highlight w:val="yellow"/>
        </w:rPr>
        <w:t>Gade, nr.</w:t>
      </w:r>
    </w:p>
    <w:p w:rsidR="001E1418" w:rsidRPr="00A139C8" w:rsidRDefault="00A139C8" w:rsidP="00A139C8">
      <w:pPr>
        <w:tabs>
          <w:tab w:val="clear" w:pos="850"/>
          <w:tab w:val="clear" w:pos="1701"/>
          <w:tab w:val="clear" w:pos="2835"/>
          <w:tab w:val="clear" w:pos="5103"/>
          <w:tab w:val="clear" w:pos="6521"/>
          <w:tab w:val="clear" w:pos="6985"/>
          <w:tab w:val="clear" w:pos="8505"/>
          <w:tab w:val="right" w:pos="6520"/>
          <w:tab w:val="left" w:pos="7088"/>
        </w:tabs>
        <w:autoSpaceDE w:val="0"/>
        <w:autoSpaceDN w:val="0"/>
        <w:adjustRightInd w:val="0"/>
        <w:spacing w:line="240" w:lineRule="auto"/>
        <w:jc w:val="left"/>
        <w:rPr>
          <w:rFonts w:cs="Open Sans"/>
          <w:szCs w:val="20"/>
          <w:highlight w:val="yellow"/>
        </w:rPr>
      </w:pPr>
      <w:r w:rsidRPr="00A139C8">
        <w:rPr>
          <w:rFonts w:cs="Open Sans"/>
          <w:szCs w:val="20"/>
          <w:highlight w:val="yellow"/>
        </w:rPr>
        <w:t>Postnummer, by</w:t>
      </w:r>
    </w:p>
    <w:p w:rsidR="001E1418" w:rsidRPr="002D36C9" w:rsidRDefault="001E1418" w:rsidP="001E1418">
      <w:pPr>
        <w:tabs>
          <w:tab w:val="clear" w:pos="850"/>
          <w:tab w:val="clear" w:pos="1701"/>
          <w:tab w:val="clear" w:pos="2835"/>
          <w:tab w:val="clear" w:pos="5103"/>
          <w:tab w:val="clear" w:pos="6521"/>
          <w:tab w:val="clear" w:pos="6985"/>
          <w:tab w:val="clear" w:pos="8505"/>
          <w:tab w:val="left" w:pos="7088"/>
        </w:tabs>
        <w:autoSpaceDE w:val="0"/>
        <w:autoSpaceDN w:val="0"/>
        <w:adjustRightInd w:val="0"/>
        <w:spacing w:line="240" w:lineRule="auto"/>
        <w:jc w:val="left"/>
        <w:rPr>
          <w:rFonts w:cs="Open Sans"/>
          <w:szCs w:val="20"/>
        </w:rPr>
      </w:pPr>
      <w:r>
        <w:rPr>
          <w:rFonts w:cs="Open Sans"/>
          <w:szCs w:val="20"/>
        </w:rPr>
        <w:t>Danmark</w:t>
      </w:r>
    </w:p>
    <w:p w:rsidR="001E1418" w:rsidRPr="002D36C9" w:rsidRDefault="001E1418" w:rsidP="001E1418">
      <w:pPr>
        <w:tabs>
          <w:tab w:val="clear" w:pos="850"/>
          <w:tab w:val="clear" w:pos="1701"/>
          <w:tab w:val="clear" w:pos="2835"/>
          <w:tab w:val="clear" w:pos="5103"/>
          <w:tab w:val="clear" w:pos="6521"/>
          <w:tab w:val="clear" w:pos="6985"/>
          <w:tab w:val="clear" w:pos="8505"/>
          <w:tab w:val="right" w:pos="6520"/>
          <w:tab w:val="left" w:pos="7088"/>
        </w:tabs>
        <w:autoSpaceDE w:val="0"/>
        <w:autoSpaceDN w:val="0"/>
        <w:adjustRightInd w:val="0"/>
        <w:spacing w:line="240" w:lineRule="auto"/>
        <w:jc w:val="left"/>
        <w:rPr>
          <w:rFonts w:cs="Open Sans"/>
          <w:szCs w:val="20"/>
        </w:rPr>
      </w:pPr>
      <w:r w:rsidRPr="002D36C9">
        <w:rPr>
          <w:rFonts w:cs="Open Sans"/>
          <w:szCs w:val="20"/>
        </w:rPr>
        <w:t xml:space="preserve"> ("den Dataansvarlige")</w:t>
      </w:r>
    </w:p>
    <w:p w:rsidR="001E1418" w:rsidRPr="002D36C9" w:rsidRDefault="001E1418" w:rsidP="001E1418">
      <w:pPr>
        <w:tabs>
          <w:tab w:val="clear" w:pos="850"/>
          <w:tab w:val="clear" w:pos="1701"/>
          <w:tab w:val="clear" w:pos="2835"/>
          <w:tab w:val="clear" w:pos="5103"/>
          <w:tab w:val="clear" w:pos="6521"/>
          <w:tab w:val="clear" w:pos="6985"/>
          <w:tab w:val="clear" w:pos="8505"/>
          <w:tab w:val="right" w:pos="6520"/>
          <w:tab w:val="left" w:pos="7088"/>
        </w:tabs>
        <w:autoSpaceDE w:val="0"/>
        <w:autoSpaceDN w:val="0"/>
        <w:adjustRightInd w:val="0"/>
        <w:spacing w:line="240" w:lineRule="auto"/>
        <w:jc w:val="left"/>
        <w:rPr>
          <w:rFonts w:cs="Open Sans"/>
          <w:szCs w:val="20"/>
        </w:rPr>
      </w:pPr>
    </w:p>
    <w:p w:rsidR="001E1418" w:rsidRPr="002D36C9" w:rsidRDefault="001E1418" w:rsidP="001E1418">
      <w:pPr>
        <w:tabs>
          <w:tab w:val="clear" w:pos="850"/>
          <w:tab w:val="clear" w:pos="1701"/>
          <w:tab w:val="clear" w:pos="2835"/>
          <w:tab w:val="clear" w:pos="5103"/>
          <w:tab w:val="clear" w:pos="6521"/>
          <w:tab w:val="clear" w:pos="6985"/>
          <w:tab w:val="clear" w:pos="8505"/>
          <w:tab w:val="right" w:pos="6520"/>
          <w:tab w:val="left" w:pos="7088"/>
        </w:tabs>
        <w:autoSpaceDE w:val="0"/>
        <w:autoSpaceDN w:val="0"/>
        <w:adjustRightInd w:val="0"/>
        <w:spacing w:line="240" w:lineRule="auto"/>
        <w:jc w:val="left"/>
        <w:rPr>
          <w:rFonts w:cs="Open Sans"/>
          <w:szCs w:val="20"/>
        </w:rPr>
      </w:pPr>
      <w:r w:rsidRPr="002D36C9">
        <w:rPr>
          <w:rFonts w:cs="Open Sans"/>
          <w:szCs w:val="20"/>
        </w:rPr>
        <w:t>og</w:t>
      </w:r>
    </w:p>
    <w:p w:rsidR="001E1418" w:rsidRPr="002D36C9" w:rsidRDefault="001E1418" w:rsidP="001E1418">
      <w:pPr>
        <w:tabs>
          <w:tab w:val="clear" w:pos="850"/>
          <w:tab w:val="clear" w:pos="1701"/>
          <w:tab w:val="clear" w:pos="2835"/>
          <w:tab w:val="clear" w:pos="5103"/>
          <w:tab w:val="clear" w:pos="6521"/>
          <w:tab w:val="clear" w:pos="6985"/>
          <w:tab w:val="clear" w:pos="8505"/>
          <w:tab w:val="right" w:pos="6520"/>
          <w:tab w:val="left" w:pos="7088"/>
        </w:tabs>
        <w:autoSpaceDE w:val="0"/>
        <w:autoSpaceDN w:val="0"/>
        <w:adjustRightInd w:val="0"/>
        <w:spacing w:line="240" w:lineRule="auto"/>
        <w:jc w:val="left"/>
        <w:rPr>
          <w:rFonts w:cs="Open Sans"/>
          <w:szCs w:val="20"/>
        </w:rPr>
      </w:pPr>
    </w:p>
    <w:p w:rsidR="001E1418" w:rsidRPr="00CD2684"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jc w:val="left"/>
        <w:rPr>
          <w:rFonts w:cs="Open Sans"/>
          <w:szCs w:val="20"/>
          <w:highlight w:val="yellow"/>
        </w:rPr>
      </w:pPr>
      <w:r w:rsidRPr="00CD2684">
        <w:rPr>
          <w:rFonts w:cs="Open Sans"/>
          <w:szCs w:val="20"/>
          <w:highlight w:val="yellow"/>
        </w:rPr>
        <w:t>[Navn på databehandler]</w:t>
      </w:r>
    </w:p>
    <w:p w:rsidR="001E1418" w:rsidRPr="00CD2684" w:rsidRDefault="001E1418" w:rsidP="001E1418">
      <w:pPr>
        <w:tabs>
          <w:tab w:val="clear" w:pos="850"/>
          <w:tab w:val="clear" w:pos="1701"/>
          <w:tab w:val="clear" w:pos="2835"/>
          <w:tab w:val="clear" w:pos="5103"/>
          <w:tab w:val="clear" w:pos="6985"/>
          <w:tab w:val="clear" w:pos="8505"/>
          <w:tab w:val="left" w:pos="7088"/>
        </w:tabs>
        <w:autoSpaceDE w:val="0"/>
        <w:autoSpaceDN w:val="0"/>
        <w:adjustRightInd w:val="0"/>
        <w:spacing w:line="240" w:lineRule="auto"/>
        <w:jc w:val="left"/>
        <w:rPr>
          <w:rFonts w:cs="Open Sans"/>
          <w:szCs w:val="20"/>
          <w:highlight w:val="yellow"/>
        </w:rPr>
      </w:pPr>
      <w:proofErr w:type="spellStart"/>
      <w:r w:rsidRPr="00CD2684">
        <w:rPr>
          <w:rFonts w:cs="Open Sans"/>
          <w:szCs w:val="20"/>
          <w:highlight w:val="yellow"/>
        </w:rPr>
        <w:t>CVR-nr</w:t>
      </w:r>
      <w:proofErr w:type="spellEnd"/>
      <w:r w:rsidRPr="00CD2684">
        <w:rPr>
          <w:rFonts w:cs="Open Sans"/>
          <w:szCs w:val="20"/>
          <w:highlight w:val="yellow"/>
        </w:rPr>
        <w:t>.: [</w:t>
      </w:r>
      <w:proofErr w:type="spellStart"/>
      <w:r w:rsidRPr="00CD2684">
        <w:rPr>
          <w:rFonts w:cs="Open Sans"/>
          <w:szCs w:val="20"/>
          <w:highlight w:val="yellow"/>
        </w:rPr>
        <w:t>CVR-nr</w:t>
      </w:r>
      <w:proofErr w:type="spellEnd"/>
      <w:r w:rsidRPr="00CD2684">
        <w:rPr>
          <w:rFonts w:cs="Open Sans"/>
          <w:szCs w:val="20"/>
          <w:highlight w:val="yellow"/>
        </w:rPr>
        <w:t>.]</w:t>
      </w:r>
    </w:p>
    <w:p w:rsidR="001E1418" w:rsidRPr="00CD2684" w:rsidRDefault="001E1418" w:rsidP="001E1418">
      <w:pPr>
        <w:tabs>
          <w:tab w:val="clear" w:pos="850"/>
          <w:tab w:val="clear" w:pos="1701"/>
          <w:tab w:val="clear" w:pos="2835"/>
          <w:tab w:val="clear" w:pos="5103"/>
          <w:tab w:val="clear" w:pos="6521"/>
          <w:tab w:val="clear" w:pos="6985"/>
          <w:tab w:val="clear" w:pos="8505"/>
          <w:tab w:val="right" w:pos="6520"/>
          <w:tab w:val="left" w:pos="7088"/>
        </w:tabs>
        <w:autoSpaceDE w:val="0"/>
        <w:autoSpaceDN w:val="0"/>
        <w:adjustRightInd w:val="0"/>
        <w:spacing w:line="240" w:lineRule="auto"/>
        <w:jc w:val="left"/>
        <w:rPr>
          <w:rFonts w:cs="Open Sans"/>
          <w:szCs w:val="20"/>
          <w:highlight w:val="yellow"/>
        </w:rPr>
      </w:pPr>
      <w:r w:rsidRPr="00CD2684">
        <w:rPr>
          <w:rFonts w:cs="Open Sans"/>
          <w:szCs w:val="20"/>
          <w:highlight w:val="yellow"/>
        </w:rPr>
        <w:t>[Adresse]</w:t>
      </w:r>
    </w:p>
    <w:p w:rsidR="001E1418" w:rsidRPr="002D36C9" w:rsidRDefault="001E1418" w:rsidP="001E1418">
      <w:pPr>
        <w:tabs>
          <w:tab w:val="clear" w:pos="850"/>
          <w:tab w:val="clear" w:pos="1701"/>
          <w:tab w:val="clear" w:pos="2835"/>
          <w:tab w:val="clear" w:pos="5103"/>
          <w:tab w:val="clear" w:pos="6521"/>
          <w:tab w:val="clear" w:pos="6985"/>
          <w:tab w:val="clear" w:pos="8505"/>
          <w:tab w:val="left" w:pos="7088"/>
        </w:tabs>
        <w:autoSpaceDE w:val="0"/>
        <w:autoSpaceDN w:val="0"/>
        <w:adjustRightInd w:val="0"/>
        <w:spacing w:line="240" w:lineRule="auto"/>
        <w:jc w:val="left"/>
        <w:rPr>
          <w:rFonts w:cs="Open Sans"/>
          <w:szCs w:val="20"/>
        </w:rPr>
      </w:pPr>
      <w:r w:rsidRPr="00CD2684">
        <w:rPr>
          <w:rFonts w:cs="Open Sans"/>
          <w:szCs w:val="20"/>
          <w:highlight w:val="yellow"/>
        </w:rPr>
        <w:t>[Land]</w:t>
      </w:r>
    </w:p>
    <w:p w:rsidR="001E1418" w:rsidRPr="002D36C9" w:rsidRDefault="001E1418" w:rsidP="001E1418">
      <w:pPr>
        <w:tabs>
          <w:tab w:val="clear" w:pos="850"/>
          <w:tab w:val="clear" w:pos="1701"/>
          <w:tab w:val="clear" w:pos="2835"/>
          <w:tab w:val="clear" w:pos="5103"/>
          <w:tab w:val="clear" w:pos="6521"/>
          <w:tab w:val="clear" w:pos="6985"/>
          <w:tab w:val="clear" w:pos="8505"/>
          <w:tab w:val="right" w:pos="6520"/>
          <w:tab w:val="left" w:pos="7088"/>
        </w:tabs>
        <w:autoSpaceDE w:val="0"/>
        <w:autoSpaceDN w:val="0"/>
        <w:adjustRightInd w:val="0"/>
        <w:spacing w:line="240" w:lineRule="auto"/>
        <w:jc w:val="left"/>
        <w:rPr>
          <w:rFonts w:cs="Open Sans"/>
          <w:szCs w:val="20"/>
        </w:rPr>
      </w:pPr>
      <w:r w:rsidRPr="002D36C9">
        <w:rPr>
          <w:rFonts w:cs="Open Sans"/>
          <w:szCs w:val="20"/>
        </w:rPr>
        <w:t>("Databehandleren")</w:t>
      </w:r>
    </w:p>
    <w:p w:rsidR="001E1418" w:rsidRPr="002D36C9"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jc w:val="left"/>
        <w:rPr>
          <w:rFonts w:cs="Open Sans"/>
          <w:szCs w:val="20"/>
        </w:rPr>
      </w:pPr>
    </w:p>
    <w:p w:rsidR="001E1418"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jc w:val="left"/>
        <w:rPr>
          <w:rFonts w:cs="Open Sans"/>
          <w:szCs w:val="20"/>
        </w:rPr>
      </w:pPr>
      <w:r>
        <w:rPr>
          <w:rFonts w:cs="Open Sans"/>
          <w:szCs w:val="20"/>
        </w:rPr>
        <w:t xml:space="preserve">(hver for sig kaldet en </w:t>
      </w:r>
      <w:r w:rsidRPr="002D36C9">
        <w:rPr>
          <w:rFonts w:cs="Open Sans"/>
          <w:szCs w:val="20"/>
        </w:rPr>
        <w:t>"</w:t>
      </w:r>
      <w:r>
        <w:rPr>
          <w:rFonts w:cs="Open Sans"/>
          <w:szCs w:val="20"/>
        </w:rPr>
        <w:t>Part</w:t>
      </w:r>
      <w:r w:rsidRPr="002D36C9">
        <w:rPr>
          <w:rFonts w:cs="Open Sans"/>
          <w:szCs w:val="20"/>
        </w:rPr>
        <w:t>"</w:t>
      </w:r>
      <w:r>
        <w:rPr>
          <w:rFonts w:cs="Open Sans"/>
          <w:szCs w:val="20"/>
        </w:rPr>
        <w:t xml:space="preserve"> og samlet </w:t>
      </w:r>
      <w:r w:rsidRPr="002D36C9">
        <w:rPr>
          <w:rFonts w:cs="Open Sans"/>
          <w:szCs w:val="20"/>
        </w:rPr>
        <w:t>"</w:t>
      </w:r>
      <w:r>
        <w:rPr>
          <w:rFonts w:cs="Open Sans"/>
          <w:szCs w:val="20"/>
        </w:rPr>
        <w:t>Parterne</w:t>
      </w:r>
      <w:r w:rsidRPr="002D36C9">
        <w:rPr>
          <w:rFonts w:cs="Open Sans"/>
          <w:szCs w:val="20"/>
        </w:rPr>
        <w:t>"</w:t>
      </w:r>
      <w:r>
        <w:rPr>
          <w:rFonts w:cs="Open Sans"/>
          <w:szCs w:val="20"/>
        </w:rPr>
        <w:t>)</w:t>
      </w:r>
    </w:p>
    <w:p w:rsidR="001E1418"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jc w:val="left"/>
        <w:rPr>
          <w:rFonts w:cs="Open Sans"/>
          <w:szCs w:val="20"/>
        </w:rPr>
      </w:pPr>
    </w:p>
    <w:p w:rsidR="001E1418"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jc w:val="left"/>
        <w:rPr>
          <w:rFonts w:cs="Open Sans"/>
          <w:szCs w:val="20"/>
        </w:rPr>
      </w:pPr>
      <w:r>
        <w:rPr>
          <w:rFonts w:cs="Open Sans"/>
          <w:szCs w:val="20"/>
        </w:rPr>
        <w:t xml:space="preserve">har indgået nærværende </w:t>
      </w:r>
    </w:p>
    <w:p w:rsidR="001E1418"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jc w:val="left"/>
        <w:rPr>
          <w:rFonts w:cs="Open Sans"/>
          <w:szCs w:val="20"/>
        </w:rPr>
      </w:pPr>
    </w:p>
    <w:p w:rsidR="001E1418"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jc w:val="left"/>
        <w:rPr>
          <w:rFonts w:cs="Open Sans"/>
          <w:szCs w:val="20"/>
        </w:rPr>
      </w:pPr>
    </w:p>
    <w:p w:rsidR="001E1418"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jc w:val="center"/>
        <w:rPr>
          <w:rFonts w:cs="Open Sans"/>
          <w:b/>
          <w:szCs w:val="20"/>
        </w:rPr>
      </w:pPr>
      <w:r w:rsidRPr="00B86697">
        <w:rPr>
          <w:rFonts w:cs="Open Sans"/>
          <w:b/>
          <w:szCs w:val="20"/>
        </w:rPr>
        <w:t>DATABEHANDLERAFTALE</w:t>
      </w:r>
    </w:p>
    <w:p w:rsidR="001E1418" w:rsidRPr="00B86697"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jc w:val="center"/>
        <w:rPr>
          <w:rFonts w:cs="Open Sans"/>
          <w:szCs w:val="20"/>
        </w:rPr>
      </w:pPr>
      <w:r>
        <w:rPr>
          <w:rFonts w:cs="Open Sans"/>
          <w:szCs w:val="20"/>
        </w:rPr>
        <w:t>(</w:t>
      </w:r>
      <w:r w:rsidRPr="002D36C9">
        <w:rPr>
          <w:rFonts w:cs="Open Sans"/>
          <w:szCs w:val="20"/>
        </w:rPr>
        <w:t>"</w:t>
      </w:r>
      <w:r>
        <w:rPr>
          <w:rFonts w:cs="Open Sans"/>
          <w:szCs w:val="20"/>
        </w:rPr>
        <w:t>Aftalen</w:t>
      </w:r>
      <w:r w:rsidRPr="002D36C9">
        <w:rPr>
          <w:rFonts w:cs="Open Sans"/>
          <w:szCs w:val="20"/>
        </w:rPr>
        <w:t>"</w:t>
      </w:r>
      <w:r>
        <w:rPr>
          <w:rFonts w:cs="Open Sans"/>
          <w:szCs w:val="20"/>
        </w:rPr>
        <w:t>)</w:t>
      </w:r>
    </w:p>
    <w:p w:rsidR="001E1418"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jc w:val="left"/>
        <w:rPr>
          <w:rFonts w:cs="Open Sans"/>
          <w:szCs w:val="20"/>
        </w:rPr>
      </w:pPr>
    </w:p>
    <w:p w:rsidR="001E1418" w:rsidRPr="002D36C9"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jc w:val="left"/>
        <w:rPr>
          <w:rFonts w:cs="Open Sans"/>
          <w:szCs w:val="20"/>
        </w:rPr>
      </w:pPr>
      <w:r>
        <w:rPr>
          <w:rFonts w:cs="Open Sans"/>
          <w:szCs w:val="20"/>
        </w:rPr>
        <w:t xml:space="preserve"> </w:t>
      </w:r>
      <w:r w:rsidRPr="002D36C9">
        <w:rPr>
          <w:rFonts w:cs="Open Sans"/>
          <w:szCs w:val="20"/>
        </w:rPr>
        <w:t>om Databehandlerens behandling af personoplysninger på vegne af den Dataansvarlige.</w:t>
      </w:r>
    </w:p>
    <w:p w:rsidR="001E1418" w:rsidRPr="002D36C9"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jc w:val="left"/>
        <w:rPr>
          <w:rFonts w:cs="Open Sans"/>
          <w:szCs w:val="20"/>
        </w:rPr>
      </w:pPr>
    </w:p>
    <w:p w:rsidR="001E1418" w:rsidRPr="002D36C9" w:rsidRDefault="001E1418" w:rsidP="001E1418">
      <w:pPr>
        <w:pStyle w:val="BBDOverskrift1"/>
      </w:pPr>
      <w:r w:rsidRPr="002D36C9">
        <w:t>De behandlede personoplysninger</w:t>
      </w:r>
    </w:p>
    <w:p w:rsidR="001E1418" w:rsidRPr="002D36C9"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rPr>
          <w:rFonts w:cs="Open Sans"/>
          <w:szCs w:val="20"/>
        </w:rPr>
      </w:pPr>
    </w:p>
    <w:p w:rsidR="001E1418" w:rsidRPr="002D36C9" w:rsidRDefault="001E1418" w:rsidP="001E1418">
      <w:pPr>
        <w:pStyle w:val="BBDOverskrift2"/>
      </w:pPr>
      <w:r w:rsidRPr="002D36C9">
        <w:t>Denne Aftal</w:t>
      </w:r>
      <w:r>
        <w:t>e er indgået i forbindelse med P</w:t>
      </w:r>
      <w:r w:rsidRPr="002D36C9">
        <w:t xml:space="preserve">arternes indgåelse af aftale </w:t>
      </w:r>
      <w:proofErr w:type="gramStart"/>
      <w:r w:rsidRPr="002E7EC5">
        <w:rPr>
          <w:highlight w:val="yellow"/>
        </w:rPr>
        <w:t xml:space="preserve">om </w:t>
      </w:r>
      <w:r>
        <w:rPr>
          <w:highlight w:val="yellow"/>
        </w:rPr>
        <w:t xml:space="preserve"> [indsæt</w:t>
      </w:r>
      <w:proofErr w:type="gramEnd"/>
      <w:r>
        <w:rPr>
          <w:highlight w:val="yellow"/>
        </w:rPr>
        <w:t>]</w:t>
      </w:r>
      <w:r w:rsidRPr="005E5E68">
        <w:rPr>
          <w:highlight w:val="yellow"/>
        </w:rPr>
        <w:t xml:space="preserve"> (”Hovedaftalen”).</w:t>
      </w:r>
    </w:p>
    <w:p w:rsidR="001E1418" w:rsidRPr="002D36C9"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ind w:left="851"/>
        <w:rPr>
          <w:rFonts w:cs="Open Sans"/>
          <w:szCs w:val="20"/>
        </w:rPr>
      </w:pPr>
    </w:p>
    <w:p w:rsidR="001E1418" w:rsidRPr="0055592B" w:rsidRDefault="001E1418" w:rsidP="001E1418">
      <w:pPr>
        <w:pStyle w:val="BBDOverskrift2"/>
      </w:pPr>
      <w:r w:rsidRPr="0055592B">
        <w:t xml:space="preserve">Databehandleren behandler de typer af personoplysninger, som fremgår af </w:t>
      </w:r>
      <w:r w:rsidRPr="001E1418">
        <w:rPr>
          <w:highlight w:val="green"/>
        </w:rPr>
        <w:t>bilag 1</w:t>
      </w:r>
      <w:r w:rsidRPr="0055592B">
        <w:t>, på vegne af den Dataansvarlige. Personoplysningerne angår de</w:t>
      </w:r>
      <w:r>
        <w:t xml:space="preserve"> til enhver tid værende medarbejdere i </w:t>
      </w:r>
      <w:r w:rsidR="00D81340">
        <w:t>Firma XYZ</w:t>
      </w:r>
      <w:r>
        <w:t xml:space="preserve"> samt tidligere medarbejder for så vidt oplysninger om sidstnævnte stadig kan behandles og således ikke er slettet</w:t>
      </w:r>
      <w:r w:rsidRPr="0055592B">
        <w:t>.</w:t>
      </w:r>
    </w:p>
    <w:p w:rsidR="001E1418" w:rsidRPr="002D36C9" w:rsidRDefault="001E1418" w:rsidP="001E1418">
      <w:pPr>
        <w:tabs>
          <w:tab w:val="clear" w:pos="850"/>
          <w:tab w:val="clear" w:pos="1701"/>
          <w:tab w:val="clear" w:pos="2835"/>
          <w:tab w:val="clear" w:pos="5103"/>
          <w:tab w:val="clear" w:pos="6521"/>
          <w:tab w:val="clear" w:pos="6985"/>
          <w:tab w:val="clear" w:pos="8505"/>
          <w:tab w:val="left" w:pos="851"/>
        </w:tabs>
        <w:autoSpaceDE w:val="0"/>
        <w:autoSpaceDN w:val="0"/>
        <w:adjustRightInd w:val="0"/>
        <w:spacing w:line="240" w:lineRule="auto"/>
        <w:ind w:left="851" w:hanging="851"/>
        <w:rPr>
          <w:rFonts w:cs="Open Sans"/>
          <w:szCs w:val="20"/>
        </w:rPr>
      </w:pPr>
    </w:p>
    <w:p w:rsidR="001E1418" w:rsidRDefault="001E1418" w:rsidP="001E1418">
      <w:pPr>
        <w:pStyle w:val="BBDOverskrift2"/>
      </w:pPr>
      <w:r w:rsidRPr="002D36C9">
        <w:t xml:space="preserve">Den Dataansvarlige er berettiget til at slette og/eller tilføje yderligere </w:t>
      </w:r>
      <w:r>
        <w:t>typer af person</w:t>
      </w:r>
      <w:r w:rsidRPr="002D36C9">
        <w:t>oplysning</w:t>
      </w:r>
      <w:r>
        <w:t>er og/eller datasubjekter</w:t>
      </w:r>
      <w:r w:rsidRPr="002D36C9">
        <w:t xml:space="preserve"> til ovenstående liste ved fremsendelse af en ny liste over </w:t>
      </w:r>
      <w:r>
        <w:t>person</w:t>
      </w:r>
      <w:r w:rsidRPr="002D36C9">
        <w:t>oplysninger</w:t>
      </w:r>
      <w:r>
        <w:t xml:space="preserve"> og/eller datasubjekter</w:t>
      </w:r>
      <w:r w:rsidRPr="002D36C9">
        <w:t xml:space="preserve"> til Databehandleren.</w:t>
      </w:r>
    </w:p>
    <w:p w:rsidR="001E1418" w:rsidRPr="001E1418" w:rsidRDefault="001E1418" w:rsidP="001E1418">
      <w:pPr>
        <w:pStyle w:val="BBDIndryk2"/>
      </w:pPr>
    </w:p>
    <w:p w:rsidR="001E1418" w:rsidRPr="001E1418" w:rsidRDefault="001E1418" w:rsidP="001E1418">
      <w:pPr>
        <w:pStyle w:val="BBDOverskrift2"/>
      </w:pPr>
      <w:r>
        <w:t>Hvis en forpligtelsen er beskrevet flere steder i nærværende aftale, er den mest restriktive for den forpligtede part gældende.</w:t>
      </w:r>
      <w:r w:rsidRPr="001E1418">
        <w:t xml:space="preserve"> </w:t>
      </w:r>
    </w:p>
    <w:p w:rsidR="001E1418" w:rsidRPr="002D36C9"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rPr>
          <w:rFonts w:cs="Open Sans"/>
          <w:szCs w:val="20"/>
        </w:rPr>
      </w:pPr>
    </w:p>
    <w:p w:rsidR="001E1418" w:rsidRPr="002D36C9" w:rsidRDefault="001E1418" w:rsidP="001E1418">
      <w:pPr>
        <w:pStyle w:val="BBDOverskrift1"/>
      </w:pPr>
      <w:r w:rsidRPr="002D36C9">
        <w:t>Formål</w:t>
      </w:r>
    </w:p>
    <w:p w:rsidR="001E1418" w:rsidRPr="002D36C9"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ind w:left="851"/>
        <w:rPr>
          <w:rFonts w:cs="Open Sans"/>
          <w:szCs w:val="20"/>
        </w:rPr>
      </w:pPr>
    </w:p>
    <w:p w:rsidR="001E1418" w:rsidRDefault="001E1418" w:rsidP="001E1418">
      <w:pPr>
        <w:pStyle w:val="BBDOverskrift2"/>
      </w:pPr>
      <w:r w:rsidRPr="002D36C9">
        <w:t xml:space="preserve">Databehandleren må alene behandle personoplysninger til formål, som er nødvendige for </w:t>
      </w:r>
      <w:r w:rsidRPr="001E1418">
        <w:t>opfylde Hovedaftalen.</w:t>
      </w:r>
      <w:r w:rsidRPr="002D36C9">
        <w:t xml:space="preserve"> </w:t>
      </w:r>
    </w:p>
    <w:p w:rsidR="001E1418" w:rsidRDefault="001E1418" w:rsidP="001E1418">
      <w:pPr>
        <w:pStyle w:val="BBDIndryk2"/>
      </w:pPr>
    </w:p>
    <w:p w:rsidR="001E1418" w:rsidRPr="001E1418" w:rsidRDefault="001E1418" w:rsidP="001E1418">
      <w:pPr>
        <w:pStyle w:val="BBDIndryk2"/>
      </w:pPr>
    </w:p>
    <w:p w:rsidR="001E1418" w:rsidRPr="002D36C9"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rPr>
          <w:rFonts w:cs="Open Sans"/>
          <w:szCs w:val="20"/>
        </w:rPr>
      </w:pPr>
    </w:p>
    <w:p w:rsidR="001E1418" w:rsidRPr="002D36C9" w:rsidRDefault="001E1418" w:rsidP="001E1418">
      <w:pPr>
        <w:pStyle w:val="BBDOverskrift1"/>
      </w:pPr>
      <w:r w:rsidRPr="002D36C9">
        <w:t>Databehandlerens forpligtelser</w:t>
      </w:r>
    </w:p>
    <w:p w:rsidR="001E1418" w:rsidRPr="002D36C9"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rPr>
          <w:rFonts w:cs="Open Sans"/>
          <w:szCs w:val="20"/>
        </w:rPr>
      </w:pPr>
    </w:p>
    <w:p w:rsidR="001E1418" w:rsidRPr="002D36C9" w:rsidRDefault="001E1418" w:rsidP="001E1418">
      <w:pPr>
        <w:pStyle w:val="BBDOverskrift2"/>
      </w:pPr>
      <w:r w:rsidRPr="002D36C9">
        <w:t>Databehandleren må alene behandle d</w:t>
      </w:r>
      <w:r>
        <w:t>e af den Dataansvarlige overførte</w:t>
      </w:r>
      <w:r w:rsidRPr="002D36C9">
        <w:t xml:space="preserve"> personoplysninger i overensstemmelse med den Dataansvarliges instrukser og er i øvrigt forpligtet til at overholde den til enhver tid gældende </w:t>
      </w:r>
      <w:r>
        <w:t>persondata</w:t>
      </w:r>
      <w:r w:rsidRPr="002D36C9">
        <w:t>lovgivning.</w:t>
      </w:r>
    </w:p>
    <w:p w:rsidR="001E1418" w:rsidRPr="002D36C9"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ind w:left="851"/>
        <w:rPr>
          <w:rFonts w:cs="Open Sans"/>
          <w:szCs w:val="20"/>
        </w:rPr>
      </w:pPr>
    </w:p>
    <w:p w:rsidR="001E1418" w:rsidRPr="002D36C9" w:rsidRDefault="001E1418" w:rsidP="001E1418">
      <w:pPr>
        <w:pStyle w:val="BBDOverskrift2"/>
      </w:pPr>
      <w:r w:rsidRPr="002D36C9">
        <w:t>Databehandleren skal træffe de fornødne tekniske og organisatoriske sikkerhedsforanstaltninger, herunder sådanne yderligere foranstaltninger, som måtte være nødvendige, mod at de i pkt. 1.2, anførte personlysninger hændeligt eller ulovligt tilintetgøres, fortabes eller forringes samt mod, at de kommer til uvedkommendes kendskab, misbruges eller i</w:t>
      </w:r>
      <w:r>
        <w:t xml:space="preserve"> øvrigt behandles i strid med persondatalovgivningen</w:t>
      </w:r>
      <w:r w:rsidRPr="002D36C9">
        <w:t xml:space="preserve">. Databehandleren er således blandt andet forpligtet til at  </w:t>
      </w:r>
    </w:p>
    <w:p w:rsidR="001E1418" w:rsidRPr="002D36C9"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ind w:left="851"/>
        <w:rPr>
          <w:rFonts w:cs="Open Sans"/>
          <w:szCs w:val="20"/>
        </w:rPr>
      </w:pPr>
    </w:p>
    <w:p w:rsidR="001E1418" w:rsidRPr="002D36C9" w:rsidRDefault="001E1418" w:rsidP="001E1418">
      <w:pPr>
        <w:tabs>
          <w:tab w:val="clear" w:pos="850"/>
          <w:tab w:val="clear" w:pos="1701"/>
          <w:tab w:val="clear" w:pos="2835"/>
          <w:tab w:val="clear" w:pos="5103"/>
          <w:tab w:val="clear" w:pos="6521"/>
          <w:tab w:val="clear" w:pos="6985"/>
          <w:tab w:val="clear" w:pos="8505"/>
          <w:tab w:val="left" w:pos="1400"/>
        </w:tabs>
        <w:autoSpaceDE w:val="0"/>
        <w:autoSpaceDN w:val="0"/>
        <w:adjustRightInd w:val="0"/>
        <w:spacing w:line="240" w:lineRule="auto"/>
        <w:ind w:left="1400" w:hanging="500"/>
        <w:rPr>
          <w:rFonts w:cs="Open Sans"/>
          <w:szCs w:val="20"/>
        </w:rPr>
      </w:pPr>
      <w:r w:rsidRPr="002D36C9">
        <w:rPr>
          <w:rFonts w:cs="Open Sans"/>
          <w:szCs w:val="20"/>
        </w:rPr>
        <w:t>·</w:t>
      </w:r>
      <w:r w:rsidRPr="002D36C9">
        <w:rPr>
          <w:rFonts w:cs="Open Sans"/>
          <w:szCs w:val="20"/>
        </w:rPr>
        <w:tab/>
        <w:t xml:space="preserve">indføre log-in- og adgangskodeprocedurer samt opsætte og vedligeholde en </w:t>
      </w:r>
      <w:proofErr w:type="spellStart"/>
      <w:r w:rsidRPr="002D36C9">
        <w:rPr>
          <w:rFonts w:cs="Open Sans"/>
          <w:szCs w:val="20"/>
        </w:rPr>
        <w:t>firewall</w:t>
      </w:r>
      <w:proofErr w:type="spellEnd"/>
      <w:r w:rsidRPr="002D36C9">
        <w:rPr>
          <w:rFonts w:cs="Open Sans"/>
          <w:szCs w:val="20"/>
        </w:rPr>
        <w:t xml:space="preserve"> og antivirus</w:t>
      </w:r>
      <w:r>
        <w:rPr>
          <w:rFonts w:cs="Open Sans"/>
          <w:szCs w:val="20"/>
        </w:rPr>
        <w:t>-</w:t>
      </w:r>
      <w:r w:rsidRPr="002D36C9">
        <w:rPr>
          <w:rFonts w:cs="Open Sans"/>
          <w:szCs w:val="20"/>
        </w:rPr>
        <w:t>software</w:t>
      </w:r>
      <w:r>
        <w:rPr>
          <w:rFonts w:cs="Open Sans"/>
          <w:szCs w:val="20"/>
        </w:rPr>
        <w:t>;</w:t>
      </w:r>
    </w:p>
    <w:p w:rsidR="001E1418" w:rsidRPr="002D36C9"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rPr>
          <w:rFonts w:cs="Open Sans"/>
          <w:szCs w:val="20"/>
        </w:rPr>
      </w:pPr>
    </w:p>
    <w:p w:rsidR="001E1418" w:rsidRDefault="001E1418" w:rsidP="001E1418">
      <w:pPr>
        <w:tabs>
          <w:tab w:val="clear" w:pos="850"/>
          <w:tab w:val="clear" w:pos="1701"/>
          <w:tab w:val="clear" w:pos="2835"/>
          <w:tab w:val="clear" w:pos="5103"/>
          <w:tab w:val="clear" w:pos="6521"/>
          <w:tab w:val="clear" w:pos="6985"/>
          <w:tab w:val="clear" w:pos="8505"/>
          <w:tab w:val="left" w:pos="1400"/>
        </w:tabs>
        <w:autoSpaceDE w:val="0"/>
        <w:autoSpaceDN w:val="0"/>
        <w:adjustRightInd w:val="0"/>
        <w:spacing w:line="240" w:lineRule="auto"/>
        <w:ind w:left="1400" w:hanging="500"/>
        <w:rPr>
          <w:rFonts w:cs="Open Sans"/>
          <w:szCs w:val="20"/>
        </w:rPr>
      </w:pPr>
      <w:r w:rsidRPr="002D36C9">
        <w:rPr>
          <w:rFonts w:cs="Open Sans"/>
          <w:szCs w:val="20"/>
        </w:rPr>
        <w:t>·</w:t>
      </w:r>
      <w:r w:rsidRPr="002D36C9">
        <w:rPr>
          <w:rFonts w:cs="Open Sans"/>
          <w:szCs w:val="20"/>
        </w:rPr>
        <w:tab/>
        <w:t>sikre, at alene medarbejdere med arbejdsrelaterede formål hertil har adgang til personoplysningerne</w:t>
      </w:r>
      <w:r>
        <w:rPr>
          <w:rFonts w:cs="Open Sans"/>
          <w:szCs w:val="20"/>
        </w:rPr>
        <w:t>;</w:t>
      </w:r>
    </w:p>
    <w:p w:rsidR="001E1418" w:rsidRDefault="001E1418" w:rsidP="001E1418">
      <w:pPr>
        <w:tabs>
          <w:tab w:val="clear" w:pos="850"/>
          <w:tab w:val="clear" w:pos="1701"/>
          <w:tab w:val="clear" w:pos="2835"/>
          <w:tab w:val="clear" w:pos="5103"/>
          <w:tab w:val="clear" w:pos="6521"/>
          <w:tab w:val="clear" w:pos="6985"/>
          <w:tab w:val="clear" w:pos="8505"/>
          <w:tab w:val="left" w:pos="1400"/>
        </w:tabs>
        <w:autoSpaceDE w:val="0"/>
        <w:autoSpaceDN w:val="0"/>
        <w:adjustRightInd w:val="0"/>
        <w:spacing w:line="240" w:lineRule="auto"/>
        <w:ind w:left="1400" w:hanging="500"/>
        <w:rPr>
          <w:rFonts w:cs="Open Sans"/>
          <w:szCs w:val="20"/>
        </w:rPr>
      </w:pPr>
    </w:p>
    <w:p w:rsidR="001E1418" w:rsidRPr="005E5E68" w:rsidRDefault="001E1418" w:rsidP="001E1418">
      <w:pPr>
        <w:numPr>
          <w:ilvl w:val="0"/>
          <w:numId w:val="2"/>
        </w:numPr>
        <w:tabs>
          <w:tab w:val="clear" w:pos="850"/>
          <w:tab w:val="clear" w:pos="1701"/>
          <w:tab w:val="clear" w:pos="2835"/>
          <w:tab w:val="clear" w:pos="5103"/>
          <w:tab w:val="clear" w:pos="6521"/>
          <w:tab w:val="clear" w:pos="6985"/>
          <w:tab w:val="clear" w:pos="8505"/>
          <w:tab w:val="left" w:pos="1418"/>
        </w:tabs>
        <w:autoSpaceDE w:val="0"/>
        <w:autoSpaceDN w:val="0"/>
        <w:adjustRightInd w:val="0"/>
        <w:spacing w:line="240" w:lineRule="auto"/>
        <w:ind w:left="1418" w:hanging="567"/>
        <w:rPr>
          <w:rFonts w:cs="Open Sans"/>
          <w:color w:val="000000" w:themeColor="text1"/>
          <w:szCs w:val="20"/>
        </w:rPr>
      </w:pPr>
      <w:r w:rsidRPr="005E5E68">
        <w:rPr>
          <w:color w:val="000000" w:themeColor="text1"/>
        </w:rPr>
        <w:t>sikre, at de medarbejdere, der er involveret i at behandle personoplysningerne, har forpligtet sig til fortrolighed eller er underlagt lovbestemt tavshedspligt;</w:t>
      </w:r>
    </w:p>
    <w:p w:rsidR="001E1418" w:rsidRPr="002D36C9"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rPr>
          <w:rFonts w:cs="Open Sans"/>
          <w:szCs w:val="20"/>
        </w:rPr>
      </w:pPr>
    </w:p>
    <w:p w:rsidR="001E1418" w:rsidRPr="002D36C9" w:rsidRDefault="001E1418" w:rsidP="001E1418">
      <w:pPr>
        <w:tabs>
          <w:tab w:val="clear" w:pos="850"/>
          <w:tab w:val="clear" w:pos="1701"/>
          <w:tab w:val="clear" w:pos="2835"/>
          <w:tab w:val="clear" w:pos="5103"/>
          <w:tab w:val="clear" w:pos="6521"/>
          <w:tab w:val="clear" w:pos="6985"/>
          <w:tab w:val="clear" w:pos="8505"/>
          <w:tab w:val="left" w:pos="1400"/>
        </w:tabs>
        <w:autoSpaceDE w:val="0"/>
        <w:autoSpaceDN w:val="0"/>
        <w:adjustRightInd w:val="0"/>
        <w:spacing w:line="240" w:lineRule="auto"/>
        <w:ind w:left="1400" w:hanging="500"/>
        <w:rPr>
          <w:rFonts w:cs="Open Sans"/>
          <w:szCs w:val="20"/>
        </w:rPr>
      </w:pPr>
      <w:r w:rsidRPr="002D36C9">
        <w:rPr>
          <w:rFonts w:cs="Open Sans"/>
          <w:szCs w:val="20"/>
        </w:rPr>
        <w:t>·</w:t>
      </w:r>
      <w:r w:rsidRPr="002D36C9">
        <w:rPr>
          <w:rFonts w:cs="Open Sans"/>
          <w:szCs w:val="20"/>
        </w:rPr>
        <w:tab/>
        <w:t>opbevare datalagermedier på forsvarlig vis, således at disse ikke er tilgængelige for tredjemand</w:t>
      </w:r>
      <w:r>
        <w:rPr>
          <w:rFonts w:cs="Open Sans"/>
          <w:szCs w:val="20"/>
        </w:rPr>
        <w:t>;</w:t>
      </w:r>
      <w:r w:rsidRPr="002D36C9">
        <w:rPr>
          <w:rFonts w:cs="Open Sans"/>
          <w:szCs w:val="20"/>
        </w:rPr>
        <w:t xml:space="preserve"> </w:t>
      </w:r>
    </w:p>
    <w:p w:rsidR="001E1418" w:rsidRPr="002D36C9"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rPr>
          <w:rFonts w:cs="Open Sans"/>
          <w:szCs w:val="20"/>
        </w:rPr>
      </w:pPr>
    </w:p>
    <w:p w:rsidR="001E1418" w:rsidRPr="002D36C9" w:rsidRDefault="001E1418" w:rsidP="001E1418">
      <w:pPr>
        <w:tabs>
          <w:tab w:val="clear" w:pos="850"/>
          <w:tab w:val="clear" w:pos="1701"/>
          <w:tab w:val="clear" w:pos="2835"/>
          <w:tab w:val="clear" w:pos="5103"/>
          <w:tab w:val="clear" w:pos="6521"/>
          <w:tab w:val="clear" w:pos="6985"/>
          <w:tab w:val="clear" w:pos="8505"/>
          <w:tab w:val="left" w:pos="1400"/>
        </w:tabs>
        <w:autoSpaceDE w:val="0"/>
        <w:autoSpaceDN w:val="0"/>
        <w:adjustRightInd w:val="0"/>
        <w:spacing w:line="240" w:lineRule="auto"/>
        <w:ind w:left="1400" w:hanging="500"/>
        <w:rPr>
          <w:rFonts w:cs="Open Sans"/>
          <w:szCs w:val="20"/>
        </w:rPr>
      </w:pPr>
      <w:r w:rsidRPr="002D36C9">
        <w:rPr>
          <w:rFonts w:cs="Open Sans"/>
          <w:szCs w:val="20"/>
        </w:rPr>
        <w:t>·</w:t>
      </w:r>
      <w:r w:rsidRPr="002D36C9">
        <w:rPr>
          <w:rFonts w:cs="Open Sans"/>
          <w:szCs w:val="20"/>
        </w:rPr>
        <w:tab/>
        <w:t>sikre, at bygninger og systemer, der anvendes i forbindelse med databehandlingen, er sikre, samt at der alene anvendes hardware og software af høj kvalitet, som opdateres løbende</w:t>
      </w:r>
      <w:r>
        <w:rPr>
          <w:rFonts w:cs="Open Sans"/>
          <w:szCs w:val="20"/>
        </w:rPr>
        <w:t>;</w:t>
      </w:r>
    </w:p>
    <w:p w:rsidR="001E1418" w:rsidRPr="002D36C9"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rPr>
          <w:rFonts w:cs="Open Sans"/>
          <w:szCs w:val="20"/>
        </w:rPr>
      </w:pPr>
    </w:p>
    <w:p w:rsidR="001E1418" w:rsidRPr="002D36C9" w:rsidRDefault="001E1418" w:rsidP="001E1418">
      <w:pPr>
        <w:tabs>
          <w:tab w:val="clear" w:pos="850"/>
          <w:tab w:val="clear" w:pos="1701"/>
          <w:tab w:val="clear" w:pos="2835"/>
          <w:tab w:val="clear" w:pos="5103"/>
          <w:tab w:val="clear" w:pos="6521"/>
          <w:tab w:val="clear" w:pos="6985"/>
          <w:tab w:val="clear" w:pos="8505"/>
          <w:tab w:val="left" w:pos="1400"/>
        </w:tabs>
        <w:autoSpaceDE w:val="0"/>
        <w:autoSpaceDN w:val="0"/>
        <w:adjustRightInd w:val="0"/>
        <w:spacing w:line="240" w:lineRule="auto"/>
        <w:ind w:left="1400" w:hanging="500"/>
        <w:rPr>
          <w:rFonts w:cs="Open Sans"/>
          <w:szCs w:val="20"/>
        </w:rPr>
      </w:pPr>
      <w:r w:rsidRPr="002D36C9">
        <w:rPr>
          <w:rFonts w:cs="Open Sans"/>
          <w:szCs w:val="20"/>
        </w:rPr>
        <w:t>·</w:t>
      </w:r>
      <w:r w:rsidRPr="002D36C9">
        <w:rPr>
          <w:rFonts w:cs="Open Sans"/>
          <w:szCs w:val="20"/>
        </w:rPr>
        <w:tab/>
        <w:t>sikre, at prøver og affaldsmateriale tilintetgøres i overensstemmelse med kravene til databeskyttelse efter nærmere instrukser fra den Dataansvarlige. I særlige tilfælde, som afgøres af den Dataansvarlige, skal nævnte prøver og affaldsmateriale opbevares eller returneres</w:t>
      </w:r>
      <w:r>
        <w:rPr>
          <w:rFonts w:cs="Open Sans"/>
          <w:szCs w:val="20"/>
        </w:rPr>
        <w:t>;</w:t>
      </w:r>
    </w:p>
    <w:p w:rsidR="001E1418" w:rsidRPr="002D36C9"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rPr>
          <w:rFonts w:cs="Open Sans"/>
          <w:szCs w:val="20"/>
        </w:rPr>
      </w:pPr>
    </w:p>
    <w:p w:rsidR="001E1418" w:rsidRDefault="001E1418" w:rsidP="001E1418">
      <w:pPr>
        <w:tabs>
          <w:tab w:val="clear" w:pos="850"/>
          <w:tab w:val="clear" w:pos="1701"/>
          <w:tab w:val="clear" w:pos="2835"/>
          <w:tab w:val="clear" w:pos="5103"/>
          <w:tab w:val="clear" w:pos="6521"/>
          <w:tab w:val="clear" w:pos="6985"/>
          <w:tab w:val="clear" w:pos="8505"/>
          <w:tab w:val="left" w:pos="1400"/>
        </w:tabs>
        <w:autoSpaceDE w:val="0"/>
        <w:autoSpaceDN w:val="0"/>
        <w:adjustRightInd w:val="0"/>
        <w:spacing w:line="240" w:lineRule="auto"/>
        <w:ind w:left="1400" w:hanging="500"/>
        <w:rPr>
          <w:rFonts w:cs="Open Sans"/>
          <w:szCs w:val="20"/>
        </w:rPr>
      </w:pPr>
      <w:r w:rsidRPr="002D36C9">
        <w:rPr>
          <w:rFonts w:cs="Open Sans"/>
          <w:szCs w:val="20"/>
        </w:rPr>
        <w:t>·</w:t>
      </w:r>
      <w:r w:rsidRPr="002D36C9">
        <w:rPr>
          <w:rFonts w:cs="Open Sans"/>
          <w:szCs w:val="20"/>
        </w:rPr>
        <w:tab/>
        <w:t>sikre, at medarbejdere modtager passende uddannelse, fyldestgørende instruktioner i og retningslinjer for behandlingen af personoplysningerne. Databehandleren er forpligtet til at sikre, at de medarbejdere, som er involveret i behandlingen af personoplysningerne, er bekendte med sikkerhedskravene.</w:t>
      </w:r>
    </w:p>
    <w:p w:rsidR="001E1418" w:rsidRDefault="001E1418" w:rsidP="001E1418">
      <w:pPr>
        <w:tabs>
          <w:tab w:val="clear" w:pos="850"/>
          <w:tab w:val="clear" w:pos="1701"/>
          <w:tab w:val="clear" w:pos="2835"/>
          <w:tab w:val="clear" w:pos="5103"/>
          <w:tab w:val="clear" w:pos="6521"/>
          <w:tab w:val="clear" w:pos="6985"/>
          <w:tab w:val="clear" w:pos="8505"/>
          <w:tab w:val="left" w:pos="1400"/>
        </w:tabs>
        <w:autoSpaceDE w:val="0"/>
        <w:autoSpaceDN w:val="0"/>
        <w:adjustRightInd w:val="0"/>
        <w:spacing w:line="240" w:lineRule="auto"/>
        <w:ind w:left="1400" w:hanging="500"/>
        <w:rPr>
          <w:rFonts w:cs="Open Sans"/>
          <w:szCs w:val="20"/>
        </w:rPr>
      </w:pPr>
    </w:p>
    <w:p w:rsidR="001E1418" w:rsidRDefault="001E1418" w:rsidP="001E1418">
      <w:pPr>
        <w:tabs>
          <w:tab w:val="clear" w:pos="850"/>
          <w:tab w:val="clear" w:pos="1701"/>
          <w:tab w:val="clear" w:pos="2835"/>
          <w:tab w:val="clear" w:pos="5103"/>
          <w:tab w:val="clear" w:pos="6521"/>
          <w:tab w:val="clear" w:pos="6985"/>
          <w:tab w:val="clear" w:pos="8505"/>
          <w:tab w:val="left" w:pos="1400"/>
        </w:tabs>
        <w:autoSpaceDE w:val="0"/>
        <w:autoSpaceDN w:val="0"/>
        <w:adjustRightInd w:val="0"/>
        <w:spacing w:line="240" w:lineRule="auto"/>
        <w:ind w:left="1400" w:hanging="500"/>
        <w:rPr>
          <w:rFonts w:cs="Open Sans"/>
          <w:szCs w:val="20"/>
        </w:rPr>
      </w:pPr>
    </w:p>
    <w:p w:rsidR="001E1418" w:rsidRDefault="001E1418" w:rsidP="001E1418">
      <w:pPr>
        <w:pStyle w:val="BBDOverskrift2"/>
      </w:pPr>
      <w:r w:rsidRPr="008C298A">
        <w:t xml:space="preserve">Databehandler skal overholde bestemmelserne om behandlingssikkerhed i lov om behandling af personoplysninger (persondataloven), herunder især §§ 41, 42 og 53, bekendtgørelse nr. 528 af 15. juni 2000 om sikkerhedsforanstaltninger til beskyttelse </w:t>
      </w:r>
      <w:r w:rsidRPr="008C298A">
        <w:lastRenderedPageBreak/>
        <w:t>af personoplysninger, som behandles for den offentlige forvaltning med senere ændringer (sikkerhedsbekendtgørelsen) og vejledning nr. 37 af 2. april 2001 hertil.</w:t>
      </w:r>
    </w:p>
    <w:p w:rsidR="001E1418" w:rsidRDefault="001E1418" w:rsidP="001E1418">
      <w:pPr>
        <w:pStyle w:val="BBDOverskrift2"/>
        <w:numPr>
          <w:ilvl w:val="0"/>
          <w:numId w:val="0"/>
        </w:numPr>
        <w:ind w:left="851"/>
      </w:pPr>
    </w:p>
    <w:p w:rsidR="001E1418" w:rsidRPr="008C298A" w:rsidRDefault="001E1418" w:rsidP="001E1418">
      <w:pPr>
        <w:pStyle w:val="BBDOverskrift2"/>
        <w:numPr>
          <w:ilvl w:val="0"/>
          <w:numId w:val="0"/>
        </w:numPr>
        <w:ind w:left="851"/>
      </w:pPr>
      <w:r w:rsidRPr="008C298A">
        <w:t>Hvis opgaven angår behandling af fortrolige eller følsomme oplysninger, skal databehandleren overholde de særlige sikkerhedskrav, der er fastsat i sikkerhedsbekendtgørelsens kapitel 3.</w:t>
      </w:r>
    </w:p>
    <w:p w:rsidR="001E1418" w:rsidRDefault="001E1418" w:rsidP="001E1418"/>
    <w:p w:rsidR="001E1418" w:rsidRPr="008C298A" w:rsidRDefault="001E1418" w:rsidP="001E1418">
      <w:pPr>
        <w:ind w:left="850"/>
      </w:pPr>
      <w:r w:rsidRPr="008C298A">
        <w:t>Databehandleren skal på den dataansvarliges anmodning straks give den dataansvarlige fyldestgørende oplysninger til, at denne kan vurdere og kontrollere, at de nødvendige sikkerhedsforanstaltninger er iværksat og overholdes.</w:t>
      </w:r>
    </w:p>
    <w:p w:rsidR="001E1418" w:rsidRDefault="001E1418" w:rsidP="001E1418"/>
    <w:p w:rsidR="001E1418" w:rsidRPr="008C298A" w:rsidRDefault="001E1418" w:rsidP="001E1418">
      <w:pPr>
        <w:ind w:left="850"/>
        <w:rPr>
          <w:b/>
        </w:rPr>
      </w:pPr>
      <w:r w:rsidRPr="008C298A">
        <w:t xml:space="preserve">Databehandleren har pligt til på eget initiativ at søge eventuel tvivl om sikkerhedskravene og opfyldelsen heraf afklaret, herunder via den dataansvarlige. Databehandleren underretter den dataansvarlige, hvis der konstateres svigt i sikkerheden. </w:t>
      </w:r>
    </w:p>
    <w:p w:rsidR="001E1418" w:rsidRDefault="001E1418" w:rsidP="001E1418">
      <w:pPr>
        <w:ind w:left="850"/>
      </w:pPr>
    </w:p>
    <w:p w:rsidR="001E1418" w:rsidRPr="008C298A" w:rsidRDefault="001E1418" w:rsidP="001E1418">
      <w:pPr>
        <w:ind w:left="850"/>
      </w:pPr>
      <w:r w:rsidRPr="008C298A">
        <w:t>Opmærksomheden skal særligt henledes på:</w:t>
      </w:r>
    </w:p>
    <w:p w:rsidR="001E1418" w:rsidRPr="008C298A" w:rsidRDefault="001E1418" w:rsidP="001E1418">
      <w:pPr>
        <w:ind w:left="850"/>
      </w:pPr>
      <w:r w:rsidRPr="008C298A">
        <w:t>Oplysningerne må ikke opbevares længere end nødvendigt af hensyn til de formål, hvortil de er indsamlet.</w:t>
      </w:r>
    </w:p>
    <w:p w:rsidR="001E1418" w:rsidRDefault="001E1418" w:rsidP="001E1418">
      <w:pPr>
        <w:ind w:left="850"/>
      </w:pPr>
    </w:p>
    <w:p w:rsidR="001E1418" w:rsidRPr="008C298A" w:rsidRDefault="001E1418" w:rsidP="001E1418">
      <w:pPr>
        <w:ind w:left="850"/>
      </w:pPr>
      <w:r w:rsidRPr="008C298A">
        <w:t xml:space="preserve">Oplysningerne må ikke videregives til tredjemand, medmindre dette følger af gældende lovgivning eller efter instruks fra den dataansvarlige. </w:t>
      </w:r>
    </w:p>
    <w:p w:rsidR="001E1418" w:rsidRDefault="001E1418" w:rsidP="001E1418">
      <w:pPr>
        <w:ind w:left="850"/>
      </w:pPr>
    </w:p>
    <w:p w:rsidR="001E1418" w:rsidRPr="008C298A" w:rsidRDefault="001E1418" w:rsidP="001E1418">
      <w:pPr>
        <w:ind w:left="850"/>
      </w:pPr>
      <w:r w:rsidRPr="008C298A">
        <w:t>Databehandleren skal sikre, at kun personer, som autoriseres hertil af databehandler, har adgang til de personoplysninger, der behandles.</w:t>
      </w:r>
    </w:p>
    <w:p w:rsidR="001E1418" w:rsidRDefault="001E1418" w:rsidP="001E1418">
      <w:pPr>
        <w:ind w:left="850"/>
      </w:pPr>
    </w:p>
    <w:p w:rsidR="001E1418" w:rsidRPr="008C298A" w:rsidRDefault="001E1418" w:rsidP="001E1418">
      <w:pPr>
        <w:ind w:left="850"/>
      </w:pPr>
      <w:r w:rsidRPr="008C298A">
        <w:t>Databehandleren skal sikre, at behandling af persondata sker i overensstemmelse med sikkerhedsbekendtgørelsen, herunder især ved tilslutning til internet eller andre åbne net eller trådløse net.</w:t>
      </w:r>
    </w:p>
    <w:p w:rsidR="001E1418" w:rsidRDefault="001E1418" w:rsidP="001E1418">
      <w:pPr>
        <w:ind w:left="850"/>
      </w:pPr>
    </w:p>
    <w:p w:rsidR="001E1418" w:rsidRPr="008C298A" w:rsidRDefault="001E1418" w:rsidP="001E1418">
      <w:pPr>
        <w:ind w:left="850"/>
      </w:pPr>
      <w:r w:rsidRPr="008C298A">
        <w:t>Databehandleren sikrer ved behandling af oplysninger uden for databehandlerens lokaliteter, herunder ved brug af hjemmearbejdspladser eller lignende, at dette sker i overensstemmelse med sikkerhedsbekendtgørelsen.</w:t>
      </w:r>
    </w:p>
    <w:p w:rsidR="001E1418" w:rsidRDefault="001E1418" w:rsidP="001E1418">
      <w:pPr>
        <w:ind w:left="850"/>
      </w:pPr>
    </w:p>
    <w:p w:rsidR="001E1418" w:rsidRDefault="001E1418" w:rsidP="001E1418">
      <w:pPr>
        <w:ind w:left="850"/>
      </w:pPr>
      <w:r>
        <w:t>Der kan ikke ske o</w:t>
      </w:r>
      <w:r w:rsidRPr="008C298A">
        <w:t>verførsel af personoplysningerne til tredjelande.</w:t>
      </w:r>
      <w:r>
        <w:t xml:space="preserve"> Overførsel til underleverandører (underdatabehandlere) er ikke tilladt. </w:t>
      </w:r>
    </w:p>
    <w:p w:rsidR="001E1418" w:rsidRDefault="001E1418" w:rsidP="001E1418">
      <w:pPr>
        <w:ind w:left="850"/>
      </w:pPr>
    </w:p>
    <w:p w:rsidR="001E1418" w:rsidRPr="008C298A" w:rsidRDefault="001E1418" w:rsidP="001E1418">
      <w:pPr>
        <w:ind w:left="850"/>
      </w:pPr>
      <w:r w:rsidRPr="008C298A">
        <w:t xml:space="preserve">Sletning af datamedier i forbindelse med reparation, genanskaffelse, kassation og salg af datamediet skal ske effektivt ved dataoverskrivning med specialprogram eller ved destruktion eller afmagnetisering af selve datamediet. </w:t>
      </w:r>
    </w:p>
    <w:p w:rsidR="001E1418" w:rsidRDefault="001E1418" w:rsidP="001E1418">
      <w:pPr>
        <w:pStyle w:val="BBDOverskrift1"/>
        <w:numPr>
          <w:ilvl w:val="0"/>
          <w:numId w:val="0"/>
        </w:numPr>
      </w:pPr>
    </w:p>
    <w:p w:rsidR="001E1418" w:rsidRPr="001E1418" w:rsidRDefault="001E1418" w:rsidP="001E1418">
      <w:pPr>
        <w:pStyle w:val="BBDIndryk2"/>
      </w:pPr>
    </w:p>
    <w:p w:rsidR="001E1418" w:rsidRPr="001E1418" w:rsidRDefault="001E1418" w:rsidP="001E1418">
      <w:pPr>
        <w:pStyle w:val="BBDIndryk2"/>
      </w:pPr>
    </w:p>
    <w:p w:rsidR="001E1418" w:rsidRPr="002D36C9" w:rsidRDefault="001E1418" w:rsidP="001E1418">
      <w:pPr>
        <w:pStyle w:val="BBDOverskrift2"/>
      </w:pPr>
      <w:r>
        <w:lastRenderedPageBreak/>
        <w:t>Databehandleren skal på den Dataansvarliges anmodning redegøre for og/eller dokumentere, at Databehandleren opfylder kravene i persondatalovgivningen, herunder fremvise dokumentation for Databehandlerens datastrømme og procedurer/politikker for behandling af personoplysninger.</w:t>
      </w:r>
    </w:p>
    <w:p w:rsidR="001E1418" w:rsidRPr="002D36C9"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ind w:left="851"/>
        <w:rPr>
          <w:rFonts w:cs="Open Sans"/>
          <w:szCs w:val="20"/>
        </w:rPr>
      </w:pPr>
    </w:p>
    <w:p w:rsidR="001E1418" w:rsidRPr="002D36C9" w:rsidRDefault="001E1418" w:rsidP="001E1418">
      <w:pPr>
        <w:pStyle w:val="BBDOverskrift2"/>
      </w:pPr>
      <w:r w:rsidRPr="002D36C9">
        <w:t>Hvis Data</w:t>
      </w:r>
      <w:r>
        <w:t>behandleren behandler personoplysninger</w:t>
      </w:r>
      <w:r w:rsidRPr="002D36C9">
        <w:t xml:space="preserve"> i et andet EU/EØS medlemsland, skal Databehandleren følge lovgivningen om sikkerhedsforanstaltninger i det pågældende medlemsland.</w:t>
      </w:r>
    </w:p>
    <w:p w:rsidR="001E1418" w:rsidRPr="002D36C9" w:rsidRDefault="001E1418" w:rsidP="001E1418">
      <w:pPr>
        <w:tabs>
          <w:tab w:val="clear" w:pos="850"/>
          <w:tab w:val="clear" w:pos="1701"/>
          <w:tab w:val="clear" w:pos="2835"/>
          <w:tab w:val="clear" w:pos="5103"/>
          <w:tab w:val="clear" w:pos="6521"/>
          <w:tab w:val="clear" w:pos="6985"/>
          <w:tab w:val="clear" w:pos="8505"/>
          <w:tab w:val="left" w:pos="851"/>
        </w:tabs>
        <w:autoSpaceDE w:val="0"/>
        <w:autoSpaceDN w:val="0"/>
        <w:adjustRightInd w:val="0"/>
        <w:spacing w:line="240" w:lineRule="auto"/>
        <w:ind w:left="851" w:hanging="851"/>
        <w:rPr>
          <w:rFonts w:cs="Open Sans"/>
          <w:szCs w:val="20"/>
        </w:rPr>
      </w:pPr>
    </w:p>
    <w:p w:rsidR="001E1418" w:rsidRPr="002D36C9" w:rsidRDefault="001E1418" w:rsidP="001E1418">
      <w:pPr>
        <w:pStyle w:val="BBDOverskrift2"/>
      </w:pPr>
      <w:r w:rsidRPr="002D36C9">
        <w:t xml:space="preserve">Databehandleren er forpligtet til straks at give den Dataansvarlige meddelelse om driftsforstyrrelser, mistanke om brud på databeskyttelsesreglerne eller andre uregelmæssigheder i forbindelse med behandlingen af personoplysningerne. </w:t>
      </w:r>
      <w:r>
        <w:t>Ved data</w:t>
      </w:r>
      <w:r w:rsidRPr="00F52574">
        <w:rPr>
          <w:color w:val="000000" w:themeColor="text1"/>
        </w:rPr>
        <w:t xml:space="preserve">sikkerhedsbrud skal Databehandleren underrette den Dataansvarlige straks og senest </w:t>
      </w:r>
      <w:r>
        <w:rPr>
          <w:color w:val="000000" w:themeColor="text1"/>
        </w:rPr>
        <w:t>6</w:t>
      </w:r>
      <w:r w:rsidRPr="00F52574">
        <w:rPr>
          <w:color w:val="000000" w:themeColor="text1"/>
        </w:rPr>
        <w:t xml:space="preserve"> timer efter opdagelse af sikkerhedsbruddet. Databehandleren skal efter anmodning fra den Dataansvarlige bistå den Dataansvarlige i forhold til afklaring af sikkerhedsbruddet, herunder i forbindelse med eventuel anmeldelse til Datatilsynet og/eller datasubjekter.</w:t>
      </w:r>
    </w:p>
    <w:p w:rsidR="001E1418" w:rsidRPr="002D36C9"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ind w:left="851"/>
        <w:rPr>
          <w:rFonts w:cs="Open Sans"/>
          <w:szCs w:val="20"/>
        </w:rPr>
      </w:pPr>
    </w:p>
    <w:p w:rsidR="001E1418" w:rsidRPr="002D36C9" w:rsidRDefault="001E1418" w:rsidP="001E1418">
      <w:pPr>
        <w:pStyle w:val="BBDOverskrift2"/>
        <w:rPr>
          <w:b/>
          <w:bCs/>
        </w:rPr>
      </w:pPr>
      <w:r w:rsidRPr="002D36C9">
        <w:t xml:space="preserve">Databehandleren skal på den Dataansvarliges anmodning give den Dataansvarlige tilstrækkelige oplysninger til, at denne kan påse, at Databehandleren har truffet de fornødne tekniske og organisatoriske sikkerhedsforanstaltninger. Den Dataansvarlige er i den forbindelse berettiget til for egen regning at lade Databehandlerens behandling af personoplysninger underkaste en årlig revision af en uafhængig tredjepart. </w:t>
      </w:r>
    </w:p>
    <w:p w:rsidR="001E1418" w:rsidRPr="002D36C9"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ind w:left="851"/>
        <w:rPr>
          <w:rFonts w:cs="Open Sans"/>
          <w:szCs w:val="20"/>
        </w:rPr>
      </w:pPr>
    </w:p>
    <w:p w:rsidR="001E1418" w:rsidRPr="00F52574" w:rsidRDefault="001E1418" w:rsidP="001E1418">
      <w:pPr>
        <w:pStyle w:val="BBDOverskrift2"/>
        <w:rPr>
          <w:color w:val="000000" w:themeColor="text1"/>
        </w:rPr>
      </w:pPr>
      <w:r w:rsidRPr="00F52574">
        <w:rPr>
          <w:color w:val="000000" w:themeColor="text1"/>
        </w:rPr>
        <w:t>Hvis Databehandleren eller en anden databehandler, som har modtaget oplysninger, modtager en anmodning om adgang til registrerede personoplysninger fra et datasubjekt eller dennes agent, eller et datasubjekt gør indsigelse mod behandlingen af ​​hans/hendes registrerede personoplysninger, skal Databehandleren straks sende sådan anmodning og/eller indsigelse til den Dataansvarlige med henblik på den Dataansvarliges videre behandling, medmindre Databehandleren er berettiget til at håndtere en sådan forespørgsel selv. Databehandleren skal efter anmodning fra den Dataansvarlige bistå den Dataansvarlige i relation til besvarelse af anmodningen og/eller indsigelsen.</w:t>
      </w:r>
    </w:p>
    <w:p w:rsidR="001E1418" w:rsidRPr="002D36C9" w:rsidRDefault="001E1418" w:rsidP="001E1418">
      <w:pPr>
        <w:pStyle w:val="BBDOverskrift2"/>
        <w:numPr>
          <w:ilvl w:val="0"/>
          <w:numId w:val="0"/>
        </w:numPr>
        <w:ind w:left="851"/>
      </w:pPr>
    </w:p>
    <w:p w:rsidR="001E1418" w:rsidRPr="002D36C9" w:rsidRDefault="001E1418" w:rsidP="001E1418">
      <w:pPr>
        <w:pStyle w:val="BBDOverskrift1"/>
      </w:pPr>
      <w:r w:rsidRPr="002D36C9">
        <w:t>Overførsel af oplysninger til andre databehandlere eller tredjeparter</w:t>
      </w:r>
    </w:p>
    <w:p w:rsidR="001E1418" w:rsidRPr="002D36C9" w:rsidRDefault="001E1418" w:rsidP="001E1418">
      <w:pPr>
        <w:tabs>
          <w:tab w:val="clear" w:pos="850"/>
          <w:tab w:val="clear" w:pos="1701"/>
          <w:tab w:val="clear" w:pos="2835"/>
          <w:tab w:val="clear" w:pos="5103"/>
          <w:tab w:val="clear" w:pos="6521"/>
          <w:tab w:val="clear" w:pos="6985"/>
          <w:tab w:val="clear" w:pos="8505"/>
          <w:tab w:val="left" w:pos="851"/>
        </w:tabs>
        <w:autoSpaceDE w:val="0"/>
        <w:autoSpaceDN w:val="0"/>
        <w:adjustRightInd w:val="0"/>
        <w:spacing w:line="240" w:lineRule="auto"/>
        <w:ind w:left="851" w:hanging="851"/>
        <w:rPr>
          <w:rFonts w:cs="Open Sans"/>
          <w:szCs w:val="20"/>
        </w:rPr>
      </w:pPr>
    </w:p>
    <w:p w:rsidR="001E1418" w:rsidRPr="002D36C9" w:rsidRDefault="001E1418" w:rsidP="001E1418">
      <w:pPr>
        <w:pStyle w:val="BBDOverskrift2"/>
      </w:pPr>
      <w:bookmarkStart w:id="1" w:name="_Ref436733990"/>
      <w:r w:rsidRPr="002D36C9">
        <w:t>Databehandleren er alene forpligtet til at overføre de i pkt. 1.2 angivne personoplysninger til andre databehandlere eller tredjeparter, såfre</w:t>
      </w:r>
      <w:r>
        <w:t>mt den Dataansvarlige</w:t>
      </w:r>
      <w:r w:rsidRPr="002D36C9">
        <w:t xml:space="preserve"> giver</w:t>
      </w:r>
      <w:r>
        <w:t xml:space="preserve"> skriftlig</w:t>
      </w:r>
      <w:r w:rsidRPr="002D36C9">
        <w:t xml:space="preserve"> instruks herom. Databehandleren er ikke berettiget til at videregive eller overlade personoplysninger til tredjeparter eller databehandlere uden den Dataansvarliges forudgående skriftlige instruks, medmindre sådan videregivelse eller </w:t>
      </w:r>
      <w:proofErr w:type="spellStart"/>
      <w:r w:rsidRPr="002D36C9">
        <w:t>overladelse</w:t>
      </w:r>
      <w:proofErr w:type="spellEnd"/>
      <w:r w:rsidRPr="002D36C9">
        <w:t xml:space="preserve"> følger af lovgivningen.</w:t>
      </w:r>
      <w:bookmarkEnd w:id="1"/>
    </w:p>
    <w:p w:rsidR="001E1418" w:rsidRPr="002D36C9"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rPr>
          <w:rFonts w:cs="Open Sans"/>
          <w:szCs w:val="20"/>
        </w:rPr>
      </w:pPr>
    </w:p>
    <w:p w:rsidR="001E1418" w:rsidRPr="002D36C9" w:rsidRDefault="001E1418" w:rsidP="001E1418">
      <w:pPr>
        <w:tabs>
          <w:tab w:val="clear" w:pos="850"/>
          <w:tab w:val="clear" w:pos="1701"/>
          <w:tab w:val="clear" w:pos="2835"/>
          <w:tab w:val="clear" w:pos="5103"/>
          <w:tab w:val="clear" w:pos="6521"/>
          <w:tab w:val="clear" w:pos="6985"/>
          <w:tab w:val="clear" w:pos="8505"/>
          <w:tab w:val="left" w:pos="851"/>
        </w:tabs>
        <w:autoSpaceDE w:val="0"/>
        <w:autoSpaceDN w:val="0"/>
        <w:adjustRightInd w:val="0"/>
        <w:spacing w:line="240" w:lineRule="auto"/>
        <w:ind w:left="851" w:hanging="851"/>
        <w:rPr>
          <w:rFonts w:cs="Open Sans"/>
          <w:szCs w:val="20"/>
        </w:rPr>
      </w:pPr>
    </w:p>
    <w:p w:rsidR="001E1418" w:rsidRPr="00B658A1" w:rsidRDefault="001E1418" w:rsidP="001E1418">
      <w:pPr>
        <w:pStyle w:val="BBDIndryk2"/>
      </w:pPr>
    </w:p>
    <w:p w:rsidR="001E1418" w:rsidRPr="002D36C9" w:rsidRDefault="001E1418" w:rsidP="001E1418">
      <w:pPr>
        <w:pStyle w:val="BBDOverskrift1"/>
      </w:pPr>
      <w:r w:rsidRPr="002D36C9">
        <w:t>Ændring</w:t>
      </w:r>
    </w:p>
    <w:p w:rsidR="001E1418" w:rsidRPr="002D36C9"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rPr>
          <w:rFonts w:cs="Open Sans"/>
          <w:szCs w:val="20"/>
        </w:rPr>
      </w:pPr>
    </w:p>
    <w:p w:rsidR="001E1418" w:rsidRPr="002D36C9" w:rsidRDefault="001E1418" w:rsidP="001E1418">
      <w:pPr>
        <w:pStyle w:val="BBDOverskrift2"/>
      </w:pPr>
      <w:r w:rsidRPr="002D36C9">
        <w:t xml:space="preserve">I tilfælde af ændringer af den danske databeskyttelseslovgivning er den Dataansvarlige berettiget til at ændre de i denne Aftale indeholdte instrukser med 2 (to) ugers skriftligt varsel ved fremsendelse af nye skriftlige instrukser til Databehandleren, dog således at Databehandleren til enhver tid skal overholde gældende persondatalovgivning. </w:t>
      </w:r>
    </w:p>
    <w:p w:rsidR="001E1418" w:rsidRPr="002D36C9"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rPr>
          <w:rFonts w:cs="Open Sans"/>
          <w:szCs w:val="20"/>
        </w:rPr>
      </w:pPr>
    </w:p>
    <w:p w:rsidR="001E1418" w:rsidRPr="002D36C9" w:rsidRDefault="001E1418" w:rsidP="001E1418">
      <w:pPr>
        <w:pStyle w:val="BBDOverskrift1"/>
      </w:pPr>
      <w:r w:rsidRPr="002D36C9">
        <w:t>Misligholdelse</w:t>
      </w:r>
    </w:p>
    <w:p w:rsidR="001E1418" w:rsidRPr="002D36C9"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rPr>
          <w:rFonts w:cs="Open Sans"/>
          <w:szCs w:val="20"/>
        </w:rPr>
      </w:pPr>
    </w:p>
    <w:p w:rsidR="001E1418" w:rsidRPr="002D36C9" w:rsidRDefault="001E1418" w:rsidP="001E1418">
      <w:pPr>
        <w:pStyle w:val="BBDOverskrift2"/>
      </w:pPr>
      <w:r w:rsidRPr="002D36C9">
        <w:t xml:space="preserve">Databehandleren skal </w:t>
      </w:r>
      <w:proofErr w:type="spellStart"/>
      <w:r w:rsidRPr="002D36C9">
        <w:t>skadesløsholde</w:t>
      </w:r>
      <w:proofErr w:type="spellEnd"/>
      <w:r w:rsidRPr="002D36C9">
        <w:t xml:space="preserve"> den Dataansvarlige for enhver form for sagsanlæg, krav, omkostninger (herunder rimelige udgifter til advokatbistand), tab, ansvar, </w:t>
      </w:r>
      <w:r>
        <w:t xml:space="preserve">bøder, </w:t>
      </w:r>
      <w:r w:rsidRPr="002D36C9">
        <w:t>udgifter eller skader, som er en følge af misligholdelse af denne Aftale</w:t>
      </w:r>
      <w:r>
        <w:t>, herunder ved manglende overholdelse af gældende persondatalovgivning</w:t>
      </w:r>
      <w:r w:rsidRPr="002D36C9">
        <w:t>.</w:t>
      </w:r>
    </w:p>
    <w:p w:rsidR="001E1418" w:rsidRPr="002D36C9"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rPr>
          <w:rFonts w:cs="Open Sans"/>
          <w:szCs w:val="20"/>
        </w:rPr>
      </w:pPr>
    </w:p>
    <w:p w:rsidR="001E1418" w:rsidRPr="002D36C9" w:rsidRDefault="001E1418" w:rsidP="001E1418">
      <w:pPr>
        <w:pStyle w:val="BBDOverskrift1"/>
      </w:pPr>
      <w:r w:rsidRPr="002D36C9">
        <w:t>Ikrafttrædelse og ophør</w:t>
      </w:r>
    </w:p>
    <w:p w:rsidR="001E1418" w:rsidRPr="002D36C9"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rPr>
          <w:rFonts w:cs="Open Sans"/>
          <w:szCs w:val="20"/>
        </w:rPr>
      </w:pPr>
    </w:p>
    <w:p w:rsidR="001E1418" w:rsidRPr="002D36C9" w:rsidRDefault="001E1418" w:rsidP="001E1418">
      <w:pPr>
        <w:pStyle w:val="BBDOverskrift2"/>
      </w:pPr>
      <w:r w:rsidRPr="002D36C9">
        <w:t>Aftalen træder i kraft</w:t>
      </w:r>
      <w:r>
        <w:t xml:space="preserve"> samtidig med Hovedaftalen.</w:t>
      </w:r>
    </w:p>
    <w:p w:rsidR="001E1418" w:rsidRPr="002D36C9"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ind w:left="851"/>
        <w:rPr>
          <w:rFonts w:cs="Open Sans"/>
          <w:szCs w:val="20"/>
        </w:rPr>
      </w:pPr>
    </w:p>
    <w:p w:rsidR="001E1418" w:rsidRPr="002D36C9" w:rsidRDefault="001E1418" w:rsidP="001E1418">
      <w:pPr>
        <w:pStyle w:val="BBDOverskrift2"/>
      </w:pPr>
      <w:r w:rsidRPr="002D36C9">
        <w:t xml:space="preserve">I tilfælde af opsigelse af </w:t>
      </w:r>
      <w:r w:rsidRPr="001E1418">
        <w:t>Hovedaftalen</w:t>
      </w:r>
      <w:r w:rsidRPr="00696E85">
        <w:t xml:space="preserve"> skal denne Aftale også ophøre. Databehandleren er dog forpligtet af denne Aftale, så længe denne behandler personoplysninger på vegne af den Dataansvarlige. </w:t>
      </w:r>
    </w:p>
    <w:p w:rsidR="001E1418" w:rsidRPr="002D36C9"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ind w:left="851"/>
        <w:rPr>
          <w:rFonts w:cs="Open Sans"/>
          <w:szCs w:val="20"/>
        </w:rPr>
      </w:pPr>
    </w:p>
    <w:p w:rsidR="001E1418" w:rsidRPr="002D36C9" w:rsidRDefault="001E1418" w:rsidP="001E1418">
      <w:pPr>
        <w:pStyle w:val="BBDOverskrift2"/>
      </w:pPr>
      <w:r w:rsidRPr="002D36C9">
        <w:t xml:space="preserve">I tilfælde af Aftalens ophør er den Dataansvarlige berettiget til at forlange, at personoplysningerne tilbageleveres på et af den Dataansvarlige valgt medie, eller at de slettes. </w:t>
      </w:r>
    </w:p>
    <w:p w:rsidR="001E1418" w:rsidRPr="002D36C9"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rPr>
          <w:rFonts w:cs="Open Sans"/>
          <w:szCs w:val="20"/>
        </w:rPr>
      </w:pPr>
    </w:p>
    <w:p w:rsidR="001E1418" w:rsidRPr="002D36C9" w:rsidRDefault="001E1418" w:rsidP="001E1418">
      <w:pPr>
        <w:pStyle w:val="BBDOverskrift1"/>
      </w:pPr>
      <w:r w:rsidRPr="002D36C9">
        <w:t>Lovvalg og værneting</w:t>
      </w:r>
    </w:p>
    <w:p w:rsidR="001E1418" w:rsidRPr="002D36C9"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rPr>
          <w:rFonts w:cs="Open Sans"/>
          <w:szCs w:val="20"/>
        </w:rPr>
      </w:pPr>
    </w:p>
    <w:p w:rsidR="001E1418" w:rsidRPr="002D36C9" w:rsidRDefault="001E1418" w:rsidP="001E1418">
      <w:pPr>
        <w:pStyle w:val="BBDOverskrift2"/>
      </w:pPr>
      <w:r w:rsidRPr="002D36C9">
        <w:t xml:space="preserve">Denne </w:t>
      </w:r>
      <w:r>
        <w:t xml:space="preserve">Aftale reguleres af </w:t>
      </w:r>
      <w:r w:rsidRPr="00696E85">
        <w:t>dansk</w:t>
      </w:r>
      <w:r w:rsidRPr="002D36C9">
        <w:t xml:space="preserve"> ret.</w:t>
      </w:r>
    </w:p>
    <w:p w:rsidR="001E1418" w:rsidRPr="002D36C9"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ind w:left="851"/>
        <w:rPr>
          <w:rFonts w:cs="Open Sans"/>
          <w:szCs w:val="20"/>
        </w:rPr>
      </w:pPr>
    </w:p>
    <w:p w:rsidR="001E1418" w:rsidRPr="00696E85" w:rsidRDefault="001E1418" w:rsidP="001E1418">
      <w:pPr>
        <w:pStyle w:val="BBDOverskrift2"/>
      </w:pPr>
      <w:r w:rsidRPr="002D36C9">
        <w:t>Ethvert krav og enhver tvist, der udspringer eller på anden måde er forbundet med denne Aftale, skal afgør</w:t>
      </w:r>
      <w:r>
        <w:t xml:space="preserve">es </w:t>
      </w:r>
      <w:r w:rsidRPr="00D3187B">
        <w:t>ved den instans som er nævnt i Hovedaftalen</w:t>
      </w:r>
      <w:r w:rsidR="00D3187B" w:rsidRPr="00D3187B">
        <w:t>.</w:t>
      </w:r>
    </w:p>
    <w:p w:rsidR="001E1418" w:rsidRPr="002D36C9"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rPr>
          <w:rFonts w:cs="Open Sans"/>
          <w:szCs w:val="20"/>
        </w:rPr>
      </w:pPr>
    </w:p>
    <w:p w:rsidR="001E1418" w:rsidRPr="002D36C9" w:rsidRDefault="001E1418" w:rsidP="001E1418">
      <w:pPr>
        <w:pStyle w:val="BBDOverskrift1"/>
      </w:pPr>
      <w:r w:rsidRPr="002D36C9">
        <w:t>Underskrifter</w:t>
      </w:r>
    </w:p>
    <w:p w:rsidR="001E1418" w:rsidRPr="002D36C9"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rPr>
          <w:rFonts w:cs="Open Sans"/>
          <w:szCs w:val="20"/>
        </w:rPr>
      </w:pPr>
    </w:p>
    <w:p w:rsidR="001E1418" w:rsidRDefault="001E1418" w:rsidP="001E1418">
      <w:pPr>
        <w:pStyle w:val="BBDOverskrift2"/>
      </w:pPr>
      <w:r w:rsidRPr="002D36C9">
        <w:t xml:space="preserve">Denne Aftale er underskrevet i to enslydende, originale eksemplarer, hvoraf </w:t>
      </w:r>
      <w:r>
        <w:t>hver Part modtager et eksemplar.</w:t>
      </w:r>
    </w:p>
    <w:p w:rsidR="001E1418" w:rsidRDefault="001E1418" w:rsidP="001E1418">
      <w:pPr>
        <w:pStyle w:val="BBDIndryk2"/>
      </w:pPr>
    </w:p>
    <w:p w:rsidR="001E1418" w:rsidRDefault="001E1418" w:rsidP="001E1418">
      <w:pPr>
        <w:pStyle w:val="BBDIndryk2"/>
      </w:pPr>
    </w:p>
    <w:p w:rsidR="001E1418" w:rsidRPr="00B658A1" w:rsidRDefault="001E1418" w:rsidP="001E1418">
      <w:pPr>
        <w:pStyle w:val="BBDIndryk2"/>
        <w:jc w:val="center"/>
      </w:pPr>
      <w:r>
        <w:t>***</w:t>
      </w:r>
    </w:p>
    <w:p w:rsidR="001E1418" w:rsidRDefault="001E1418" w:rsidP="001E1418">
      <w:pPr>
        <w:tabs>
          <w:tab w:val="clear" w:pos="850"/>
          <w:tab w:val="clear" w:pos="6985"/>
          <w:tab w:val="clear" w:pos="8505"/>
          <w:tab w:val="left" w:pos="851"/>
          <w:tab w:val="left" w:pos="7144"/>
          <w:tab w:val="right" w:pos="8606"/>
        </w:tabs>
        <w:autoSpaceDE w:val="0"/>
        <w:autoSpaceDN w:val="0"/>
        <w:adjustRightInd w:val="0"/>
        <w:spacing w:line="240" w:lineRule="auto"/>
        <w:rPr>
          <w:rFonts w:cs="Open Sans"/>
          <w:szCs w:val="20"/>
        </w:rPr>
      </w:pPr>
    </w:p>
    <w:p w:rsidR="001E1418" w:rsidRPr="008504E2" w:rsidRDefault="001E1418" w:rsidP="001E1418">
      <w:pPr>
        <w:jc w:val="left"/>
      </w:pPr>
      <w:r w:rsidRPr="008504E2">
        <w:t>På vegne af den Dataansvarlige:</w:t>
      </w:r>
    </w:p>
    <w:p w:rsidR="001E1418" w:rsidRPr="008504E2" w:rsidRDefault="001E1418" w:rsidP="001E1418">
      <w:pPr>
        <w:jc w:val="left"/>
      </w:pPr>
    </w:p>
    <w:p w:rsidR="001E1418" w:rsidRPr="008504E2" w:rsidRDefault="001E1418" w:rsidP="001E1418">
      <w:pPr>
        <w:jc w:val="left"/>
      </w:pPr>
    </w:p>
    <w:p w:rsidR="001E1418" w:rsidRPr="00090C76" w:rsidRDefault="001E1418" w:rsidP="001E1418">
      <w:pPr>
        <w:jc w:val="left"/>
      </w:pPr>
      <w:r w:rsidRPr="00090C76">
        <w:t>_________________________________</w:t>
      </w:r>
    </w:p>
    <w:p w:rsidR="001E1418" w:rsidRPr="00CD2684" w:rsidRDefault="001E1418" w:rsidP="001E1418">
      <w:pPr>
        <w:jc w:val="left"/>
        <w:rPr>
          <w:highlight w:val="yellow"/>
        </w:rPr>
      </w:pPr>
      <w:r w:rsidRPr="00CD2684">
        <w:rPr>
          <w:highlight w:val="yellow"/>
        </w:rPr>
        <w:t>Navn:</w:t>
      </w:r>
    </w:p>
    <w:p w:rsidR="001E1418" w:rsidRPr="008504E2" w:rsidRDefault="001E1418" w:rsidP="001E1418">
      <w:pPr>
        <w:jc w:val="left"/>
      </w:pPr>
      <w:r w:rsidRPr="00CD2684">
        <w:rPr>
          <w:highlight w:val="yellow"/>
        </w:rPr>
        <w:t>Dato og sted:</w:t>
      </w:r>
    </w:p>
    <w:p w:rsidR="001E1418" w:rsidRPr="008504E2" w:rsidRDefault="001E1418" w:rsidP="001E1418">
      <w:pPr>
        <w:jc w:val="left"/>
      </w:pPr>
    </w:p>
    <w:p w:rsidR="001E1418" w:rsidRPr="008504E2" w:rsidRDefault="001E1418" w:rsidP="001E1418"/>
    <w:p w:rsidR="001E1418" w:rsidRPr="008504E2" w:rsidRDefault="001E1418" w:rsidP="001E1418"/>
    <w:p w:rsidR="001E1418" w:rsidRPr="008504E2" w:rsidRDefault="001E1418" w:rsidP="001E1418">
      <w:pPr>
        <w:jc w:val="left"/>
      </w:pPr>
      <w:r w:rsidRPr="008504E2">
        <w:t>På vegne af Databehandleren:</w:t>
      </w:r>
    </w:p>
    <w:p w:rsidR="001E1418" w:rsidRPr="008504E2" w:rsidRDefault="001E1418" w:rsidP="001E1418">
      <w:pPr>
        <w:jc w:val="left"/>
      </w:pPr>
    </w:p>
    <w:p w:rsidR="001E1418" w:rsidRPr="008504E2" w:rsidRDefault="001E1418" w:rsidP="001E1418">
      <w:pPr>
        <w:jc w:val="left"/>
      </w:pPr>
    </w:p>
    <w:p w:rsidR="001E1418" w:rsidRPr="008504E2" w:rsidRDefault="001E1418" w:rsidP="001E1418">
      <w:pPr>
        <w:jc w:val="left"/>
      </w:pPr>
      <w:r w:rsidRPr="008504E2">
        <w:t>_________________________________</w:t>
      </w:r>
    </w:p>
    <w:p w:rsidR="001E1418" w:rsidRPr="00CD2684" w:rsidRDefault="001E1418" w:rsidP="001E1418">
      <w:pPr>
        <w:jc w:val="left"/>
        <w:rPr>
          <w:highlight w:val="yellow"/>
        </w:rPr>
      </w:pPr>
      <w:r w:rsidRPr="00CD2684">
        <w:rPr>
          <w:highlight w:val="yellow"/>
        </w:rPr>
        <w:t>Navn:</w:t>
      </w:r>
    </w:p>
    <w:p w:rsidR="001E1418" w:rsidRPr="008504E2" w:rsidRDefault="001E1418" w:rsidP="001E1418">
      <w:pPr>
        <w:jc w:val="left"/>
      </w:pPr>
      <w:r w:rsidRPr="00CD2684">
        <w:rPr>
          <w:highlight w:val="yellow"/>
        </w:rPr>
        <w:t>Dato og sted:</w:t>
      </w:r>
    </w:p>
    <w:p w:rsidR="001E1418" w:rsidRDefault="001E1418" w:rsidP="001E1418">
      <w:pPr>
        <w:rPr>
          <w:rFonts w:cs="Open Sans"/>
          <w:b/>
          <w:szCs w:val="20"/>
        </w:rPr>
      </w:pPr>
    </w:p>
    <w:p w:rsidR="001E1418" w:rsidRDefault="001E1418" w:rsidP="001E1418">
      <w:pPr>
        <w:tabs>
          <w:tab w:val="clear" w:pos="850"/>
          <w:tab w:val="clear" w:pos="1701"/>
          <w:tab w:val="clear" w:pos="2835"/>
          <w:tab w:val="clear" w:pos="5103"/>
          <w:tab w:val="clear" w:pos="6521"/>
        </w:tabs>
        <w:spacing w:line="240" w:lineRule="auto"/>
        <w:jc w:val="left"/>
      </w:pPr>
    </w:p>
    <w:p w:rsidR="001E1418" w:rsidRDefault="001E1418" w:rsidP="001E1418"/>
    <w:p w:rsidR="001E1418" w:rsidRPr="004D662F" w:rsidRDefault="001E1418" w:rsidP="001E1418"/>
    <w:p w:rsidR="001E1418" w:rsidRPr="00392B9C" w:rsidRDefault="001E1418" w:rsidP="001E1418">
      <w:pPr>
        <w:jc w:val="left"/>
      </w:pPr>
    </w:p>
    <w:p w:rsidR="001E1418" w:rsidRPr="000F777C" w:rsidRDefault="001E1418" w:rsidP="001E1418">
      <w:pPr>
        <w:tabs>
          <w:tab w:val="clear" w:pos="850"/>
          <w:tab w:val="clear" w:pos="1701"/>
          <w:tab w:val="clear" w:pos="2835"/>
          <w:tab w:val="clear" w:pos="5103"/>
          <w:tab w:val="clear" w:pos="6521"/>
          <w:tab w:val="clear" w:pos="6985"/>
          <w:tab w:val="clear" w:pos="8505"/>
        </w:tabs>
        <w:spacing w:line="240" w:lineRule="auto"/>
        <w:jc w:val="left"/>
      </w:pPr>
    </w:p>
    <w:p w:rsidR="00DA4975" w:rsidRDefault="00DA4975"/>
    <w:sectPr w:rsidR="00DA4975" w:rsidSect="00B90103">
      <w:headerReference w:type="default" r:id="rId7"/>
      <w:footerReference w:type="first" r:id="rId8"/>
      <w:pgSz w:w="11906" w:h="16838" w:code="9"/>
      <w:pgMar w:top="1814" w:right="1701" w:bottom="1985" w:left="1701" w:header="709" w:footer="45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418" w:rsidRDefault="001E1418" w:rsidP="001E1418">
      <w:pPr>
        <w:spacing w:line="240" w:lineRule="auto"/>
      </w:pPr>
      <w:r>
        <w:separator/>
      </w:r>
    </w:p>
  </w:endnote>
  <w:endnote w:type="continuationSeparator" w:id="0">
    <w:p w:rsidR="001E1418" w:rsidRDefault="001E1418" w:rsidP="001E141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Open Sans">
    <w:altName w:val="Tahoma"/>
    <w:charset w:val="00"/>
    <w:family w:val="swiss"/>
    <w:pitch w:val="variable"/>
    <w:sig w:usb0="00000001" w:usb1="4000205B" w:usb2="00000028"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Light">
    <w:altName w:val="Corbel"/>
    <w:charset w:val="00"/>
    <w:family w:val="swiss"/>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Gitter"/>
      <w:tblW w:w="84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70" w:type="dxa"/>
      </w:tblCellMar>
      <w:tblLook w:val="04A0"/>
    </w:tblPr>
    <w:tblGrid>
      <w:gridCol w:w="1644"/>
      <w:gridCol w:w="1644"/>
      <w:gridCol w:w="2211"/>
      <w:gridCol w:w="1644"/>
      <w:gridCol w:w="1304"/>
    </w:tblGrid>
    <w:tr w:rsidR="000F777C" w:rsidRPr="003503A2" w:rsidTr="001E1418">
      <w:trPr>
        <w:trHeight w:val="77"/>
      </w:trPr>
      <w:tc>
        <w:tcPr>
          <w:tcW w:w="1644" w:type="dxa"/>
          <w:tcBorders>
            <w:left w:val="single" w:sz="2" w:space="0" w:color="auto"/>
            <w:right w:val="single" w:sz="2" w:space="0" w:color="auto"/>
          </w:tcBorders>
          <w:tcMar>
            <w:left w:w="0" w:type="dxa"/>
            <w:right w:w="0" w:type="dxa"/>
          </w:tcMar>
        </w:tcPr>
        <w:p w:rsidR="000F777C" w:rsidRPr="002155A7" w:rsidRDefault="00D81340" w:rsidP="002155A7">
          <w:pPr>
            <w:tabs>
              <w:tab w:val="left" w:pos="2552"/>
              <w:tab w:val="center" w:pos="4394"/>
              <w:tab w:val="left" w:pos="7371"/>
              <w:tab w:val="right" w:pos="8789"/>
            </w:tabs>
            <w:spacing w:line="240" w:lineRule="auto"/>
            <w:ind w:left="113"/>
            <w:rPr>
              <w:rFonts w:ascii="Open Sans Light" w:hAnsi="Open Sans Light" w:cs="Open Sans Light"/>
              <w:noProof/>
              <w:sz w:val="12"/>
              <w:szCs w:val="14"/>
            </w:rPr>
          </w:pPr>
          <w:bookmarkStart w:id="3" w:name="BundLLDK"/>
        </w:p>
      </w:tc>
      <w:tc>
        <w:tcPr>
          <w:tcW w:w="1644" w:type="dxa"/>
          <w:tcBorders>
            <w:left w:val="single" w:sz="2" w:space="0" w:color="auto"/>
            <w:right w:val="single" w:sz="2" w:space="0" w:color="auto"/>
          </w:tcBorders>
          <w:tcMar>
            <w:left w:w="113" w:type="dxa"/>
            <w:right w:w="0" w:type="dxa"/>
          </w:tcMar>
        </w:tcPr>
        <w:p w:rsidR="000F777C" w:rsidRPr="002155A7" w:rsidRDefault="00D81340" w:rsidP="002155A7">
          <w:pPr>
            <w:tabs>
              <w:tab w:val="left" w:pos="1134"/>
              <w:tab w:val="left" w:pos="2552"/>
              <w:tab w:val="center" w:pos="4394"/>
              <w:tab w:val="left" w:pos="7371"/>
              <w:tab w:val="right" w:pos="8789"/>
            </w:tabs>
            <w:spacing w:line="240" w:lineRule="auto"/>
            <w:rPr>
              <w:rFonts w:ascii="Open Sans Light" w:hAnsi="Open Sans Light" w:cs="Open Sans Light"/>
              <w:noProof/>
              <w:sz w:val="12"/>
              <w:szCs w:val="14"/>
            </w:rPr>
          </w:pPr>
        </w:p>
      </w:tc>
      <w:tc>
        <w:tcPr>
          <w:tcW w:w="2211" w:type="dxa"/>
          <w:tcBorders>
            <w:left w:val="single" w:sz="2" w:space="0" w:color="auto"/>
            <w:right w:val="single" w:sz="2" w:space="0" w:color="auto"/>
          </w:tcBorders>
          <w:tcMar>
            <w:left w:w="113" w:type="dxa"/>
            <w:right w:w="0" w:type="dxa"/>
          </w:tcMar>
        </w:tcPr>
        <w:p w:rsidR="000F777C" w:rsidRPr="002155A7" w:rsidRDefault="00D81340" w:rsidP="00A50C67">
          <w:pPr>
            <w:tabs>
              <w:tab w:val="left" w:pos="1134"/>
              <w:tab w:val="left" w:pos="2552"/>
              <w:tab w:val="center" w:pos="4394"/>
              <w:tab w:val="left" w:pos="7371"/>
              <w:tab w:val="right" w:pos="8789"/>
            </w:tabs>
            <w:spacing w:line="240" w:lineRule="auto"/>
            <w:rPr>
              <w:rFonts w:ascii="Open Sans Light" w:hAnsi="Open Sans Light" w:cs="Open Sans Light"/>
              <w:noProof/>
              <w:sz w:val="12"/>
              <w:szCs w:val="14"/>
            </w:rPr>
          </w:pPr>
        </w:p>
      </w:tc>
      <w:tc>
        <w:tcPr>
          <w:tcW w:w="1644" w:type="dxa"/>
          <w:tcBorders>
            <w:left w:val="single" w:sz="2" w:space="0" w:color="auto"/>
            <w:right w:val="single" w:sz="2" w:space="0" w:color="auto"/>
          </w:tcBorders>
          <w:tcMar>
            <w:left w:w="113" w:type="dxa"/>
            <w:right w:w="0" w:type="dxa"/>
          </w:tcMar>
        </w:tcPr>
        <w:p w:rsidR="000F777C" w:rsidRPr="002155A7" w:rsidRDefault="00D81340" w:rsidP="002155A7">
          <w:pPr>
            <w:tabs>
              <w:tab w:val="left" w:pos="170"/>
              <w:tab w:val="left" w:pos="1134"/>
              <w:tab w:val="left" w:pos="2552"/>
              <w:tab w:val="center" w:pos="4394"/>
              <w:tab w:val="left" w:pos="7371"/>
              <w:tab w:val="right" w:pos="8789"/>
            </w:tabs>
            <w:spacing w:line="240" w:lineRule="auto"/>
            <w:ind w:left="5"/>
            <w:rPr>
              <w:rFonts w:ascii="Open Sans Light" w:hAnsi="Open Sans Light" w:cs="Open Sans Light"/>
              <w:noProof/>
              <w:sz w:val="12"/>
              <w:szCs w:val="14"/>
            </w:rPr>
          </w:pPr>
        </w:p>
      </w:tc>
      <w:tc>
        <w:tcPr>
          <w:tcW w:w="1304" w:type="dxa"/>
          <w:tcBorders>
            <w:left w:val="single" w:sz="2" w:space="0" w:color="auto"/>
          </w:tcBorders>
          <w:tcMar>
            <w:left w:w="113" w:type="dxa"/>
            <w:right w:w="0" w:type="dxa"/>
          </w:tcMar>
        </w:tcPr>
        <w:p w:rsidR="000F777C" w:rsidRPr="002155A7" w:rsidRDefault="00D81340" w:rsidP="002155A7">
          <w:pPr>
            <w:tabs>
              <w:tab w:val="left" w:pos="340"/>
              <w:tab w:val="left" w:pos="425"/>
              <w:tab w:val="left" w:pos="1134"/>
              <w:tab w:val="left" w:pos="2552"/>
              <w:tab w:val="center" w:pos="4394"/>
              <w:tab w:val="left" w:pos="7371"/>
              <w:tab w:val="right" w:pos="8789"/>
            </w:tabs>
            <w:spacing w:line="240" w:lineRule="auto"/>
            <w:rPr>
              <w:rFonts w:ascii="Open Sans Light" w:hAnsi="Open Sans Light" w:cs="Open Sans Light"/>
              <w:noProof/>
              <w:sz w:val="12"/>
              <w:szCs w:val="14"/>
            </w:rPr>
          </w:pPr>
        </w:p>
      </w:tc>
    </w:tr>
    <w:tr w:rsidR="000F777C" w:rsidRPr="003503A2" w:rsidTr="002155A7">
      <w:tc>
        <w:tcPr>
          <w:tcW w:w="1644" w:type="dxa"/>
          <w:tcMar>
            <w:left w:w="0" w:type="dxa"/>
            <w:right w:w="0" w:type="dxa"/>
          </w:tcMar>
        </w:tcPr>
        <w:p w:rsidR="000F777C" w:rsidRPr="002155A7" w:rsidRDefault="00D81340" w:rsidP="002155A7">
          <w:pPr>
            <w:tabs>
              <w:tab w:val="left" w:pos="2552"/>
              <w:tab w:val="center" w:pos="4394"/>
              <w:tab w:val="left" w:pos="7371"/>
              <w:tab w:val="right" w:pos="8789"/>
            </w:tabs>
            <w:spacing w:line="240" w:lineRule="auto"/>
            <w:ind w:left="113"/>
            <w:rPr>
              <w:rFonts w:cs="Open Sans"/>
              <w:b/>
              <w:noProof/>
              <w:sz w:val="12"/>
              <w:szCs w:val="14"/>
            </w:rPr>
          </w:pPr>
        </w:p>
      </w:tc>
      <w:tc>
        <w:tcPr>
          <w:tcW w:w="1644" w:type="dxa"/>
          <w:tcMar>
            <w:left w:w="113" w:type="dxa"/>
            <w:right w:w="0" w:type="dxa"/>
          </w:tcMar>
        </w:tcPr>
        <w:p w:rsidR="000F777C" w:rsidRPr="002155A7" w:rsidRDefault="00D81340" w:rsidP="002155A7">
          <w:pPr>
            <w:tabs>
              <w:tab w:val="left" w:pos="1134"/>
              <w:tab w:val="left" w:pos="2552"/>
              <w:tab w:val="center" w:pos="4394"/>
              <w:tab w:val="left" w:pos="7371"/>
              <w:tab w:val="right" w:pos="8789"/>
            </w:tabs>
            <w:spacing w:line="240" w:lineRule="auto"/>
            <w:rPr>
              <w:rFonts w:cs="Open Sans"/>
              <w:b/>
              <w:noProof/>
              <w:sz w:val="12"/>
              <w:szCs w:val="14"/>
            </w:rPr>
          </w:pPr>
        </w:p>
      </w:tc>
      <w:tc>
        <w:tcPr>
          <w:tcW w:w="2211" w:type="dxa"/>
          <w:tcMar>
            <w:left w:w="113" w:type="dxa"/>
            <w:right w:w="0" w:type="dxa"/>
          </w:tcMar>
        </w:tcPr>
        <w:p w:rsidR="000F777C" w:rsidRPr="002155A7" w:rsidRDefault="00D81340" w:rsidP="002155A7">
          <w:pPr>
            <w:tabs>
              <w:tab w:val="left" w:pos="1134"/>
              <w:tab w:val="left" w:pos="2552"/>
              <w:tab w:val="center" w:pos="4394"/>
              <w:tab w:val="left" w:pos="7371"/>
              <w:tab w:val="right" w:pos="8789"/>
            </w:tabs>
            <w:spacing w:line="240" w:lineRule="auto"/>
            <w:rPr>
              <w:rFonts w:cs="Open Sans"/>
              <w:b/>
              <w:noProof/>
              <w:sz w:val="12"/>
              <w:szCs w:val="14"/>
            </w:rPr>
          </w:pPr>
        </w:p>
      </w:tc>
      <w:tc>
        <w:tcPr>
          <w:tcW w:w="1644" w:type="dxa"/>
          <w:tcMar>
            <w:left w:w="113" w:type="dxa"/>
            <w:right w:w="0" w:type="dxa"/>
          </w:tcMar>
        </w:tcPr>
        <w:p w:rsidR="000F777C" w:rsidRPr="002155A7" w:rsidRDefault="00D81340" w:rsidP="002155A7">
          <w:pPr>
            <w:tabs>
              <w:tab w:val="left" w:pos="170"/>
              <w:tab w:val="left" w:pos="1134"/>
              <w:tab w:val="left" w:pos="2552"/>
              <w:tab w:val="center" w:pos="4394"/>
              <w:tab w:val="left" w:pos="7371"/>
              <w:tab w:val="right" w:pos="8789"/>
            </w:tabs>
            <w:spacing w:line="240" w:lineRule="auto"/>
            <w:ind w:left="5"/>
            <w:rPr>
              <w:rFonts w:ascii="Open Sans Light" w:hAnsi="Open Sans Light" w:cs="Open Sans Light"/>
              <w:noProof/>
              <w:sz w:val="12"/>
              <w:szCs w:val="14"/>
            </w:rPr>
          </w:pPr>
        </w:p>
      </w:tc>
      <w:tc>
        <w:tcPr>
          <w:tcW w:w="1304" w:type="dxa"/>
          <w:tcBorders>
            <w:left w:val="nil"/>
          </w:tcBorders>
          <w:tcMar>
            <w:left w:w="113" w:type="dxa"/>
            <w:right w:w="0" w:type="dxa"/>
          </w:tcMar>
        </w:tcPr>
        <w:p w:rsidR="000F777C" w:rsidRPr="002155A7" w:rsidRDefault="00D81340" w:rsidP="002155A7">
          <w:pPr>
            <w:tabs>
              <w:tab w:val="left" w:pos="1134"/>
              <w:tab w:val="left" w:pos="2552"/>
              <w:tab w:val="center" w:pos="4394"/>
              <w:tab w:val="left" w:pos="7371"/>
              <w:tab w:val="right" w:pos="8789"/>
            </w:tabs>
            <w:spacing w:line="240" w:lineRule="auto"/>
            <w:rPr>
              <w:rFonts w:ascii="Open Sans Light" w:hAnsi="Open Sans Light" w:cs="Open Sans Light"/>
              <w:noProof/>
              <w:sz w:val="12"/>
              <w:szCs w:val="14"/>
            </w:rPr>
          </w:pPr>
        </w:p>
      </w:tc>
    </w:tr>
    <w:bookmarkEnd w:id="3"/>
  </w:tbl>
  <w:p w:rsidR="009819E9" w:rsidRPr="000F777C" w:rsidRDefault="00D81340" w:rsidP="000F777C">
    <w:pPr>
      <w:pStyle w:val="Sidefod"/>
      <w:spacing w:line="4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418" w:rsidRDefault="001E1418" w:rsidP="001E1418">
      <w:pPr>
        <w:spacing w:line="240" w:lineRule="auto"/>
      </w:pPr>
      <w:r>
        <w:separator/>
      </w:r>
    </w:p>
  </w:footnote>
  <w:footnote w:type="continuationSeparator" w:id="0">
    <w:p w:rsidR="001E1418" w:rsidRDefault="001E1418" w:rsidP="001E141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483" w:rsidRPr="002F64A2" w:rsidRDefault="00D81340" w:rsidP="00547C09">
    <w:pPr>
      <w:rPr>
        <w:rFonts w:cs="Open Sans"/>
      </w:rPr>
    </w:pPr>
  </w:p>
  <w:p w:rsidR="00BF4483" w:rsidRPr="002F64A2" w:rsidRDefault="00D81340" w:rsidP="00547C09">
    <w:pPr>
      <w:rPr>
        <w:rFonts w:cs="Open Sans"/>
      </w:rPr>
    </w:pPr>
  </w:p>
  <w:p w:rsidR="00BF4483" w:rsidRPr="002F64A2" w:rsidRDefault="00D81340" w:rsidP="00547C09">
    <w:pPr>
      <w:rPr>
        <w:rFonts w:cs="Open Sans"/>
      </w:rPr>
    </w:pPr>
  </w:p>
  <w:p w:rsidR="00BF4483" w:rsidRDefault="00D81340" w:rsidP="00547C09">
    <w:pPr>
      <w:rPr>
        <w:rFonts w:cs="Open Sans"/>
      </w:rPr>
    </w:pPr>
  </w:p>
  <w:p w:rsidR="00BF4483" w:rsidRDefault="00D81340" w:rsidP="00547C09">
    <w:pPr>
      <w:rPr>
        <w:rFonts w:cs="Open Sans"/>
      </w:rPr>
    </w:pPr>
  </w:p>
  <w:tbl>
    <w:tblPr>
      <w:tblW w:w="8613" w:type="dxa"/>
      <w:tblLook w:val="01E0"/>
    </w:tblPr>
    <w:tblGrid>
      <w:gridCol w:w="5211"/>
      <w:gridCol w:w="993"/>
      <w:gridCol w:w="2409"/>
    </w:tblGrid>
    <w:tr w:rsidR="00BF4483" w:rsidRPr="00A90EA5" w:rsidTr="00F76A14">
      <w:trPr>
        <w:trHeight w:hRule="exact" w:val="340"/>
      </w:trPr>
      <w:tc>
        <w:tcPr>
          <w:tcW w:w="5211" w:type="dxa"/>
          <w:vMerge w:val="restart"/>
        </w:tcPr>
        <w:p w:rsidR="00BF4483" w:rsidRPr="00A90EA5" w:rsidRDefault="00D81340" w:rsidP="00152385">
          <w:pPr>
            <w:jc w:val="left"/>
            <w:rPr>
              <w:rFonts w:ascii="Open Sans Light" w:hAnsi="Open Sans Light" w:cs="Open Sans Light"/>
            </w:rPr>
          </w:pPr>
        </w:p>
        <w:p w:rsidR="00BF4483" w:rsidRPr="00A90EA5" w:rsidRDefault="00D81340" w:rsidP="00152385">
          <w:pPr>
            <w:jc w:val="left"/>
            <w:rPr>
              <w:rFonts w:ascii="Open Sans Light" w:hAnsi="Open Sans Light" w:cs="Open Sans Light"/>
            </w:rPr>
          </w:pPr>
        </w:p>
      </w:tc>
      <w:tc>
        <w:tcPr>
          <w:tcW w:w="993" w:type="dxa"/>
          <w:vMerge w:val="restart"/>
        </w:tcPr>
        <w:p w:rsidR="00BF4483" w:rsidRPr="00A90EA5" w:rsidRDefault="00D81340" w:rsidP="00152385">
          <w:pPr>
            <w:rPr>
              <w:rFonts w:ascii="Open Sans Light" w:hAnsi="Open Sans Light" w:cs="Open Sans Light"/>
            </w:rPr>
          </w:pPr>
        </w:p>
      </w:tc>
      <w:tc>
        <w:tcPr>
          <w:tcW w:w="2409" w:type="dxa"/>
          <w:tcBorders>
            <w:bottom w:val="single" w:sz="4" w:space="0" w:color="auto"/>
          </w:tcBorders>
          <w:tcMar>
            <w:left w:w="0" w:type="dxa"/>
          </w:tcMar>
        </w:tcPr>
        <w:p w:rsidR="00BF4483" w:rsidRPr="00A90EA5" w:rsidRDefault="00D81340" w:rsidP="00152385">
          <w:pPr>
            <w:jc w:val="left"/>
            <w:rPr>
              <w:rFonts w:ascii="Open Sans Light" w:hAnsi="Open Sans Light" w:cs="Open Sans Light"/>
              <w:sz w:val="14"/>
              <w:szCs w:val="14"/>
            </w:rPr>
          </w:pPr>
        </w:p>
      </w:tc>
    </w:tr>
    <w:tr w:rsidR="00BF4483" w:rsidRPr="00A90EA5" w:rsidTr="00F76A14">
      <w:trPr>
        <w:cantSplit/>
        <w:trHeight w:hRule="exact" w:val="652"/>
      </w:trPr>
      <w:tc>
        <w:tcPr>
          <w:tcW w:w="5211" w:type="dxa"/>
          <w:vMerge/>
        </w:tcPr>
        <w:p w:rsidR="00BF4483" w:rsidRPr="00A90EA5" w:rsidRDefault="00D81340" w:rsidP="00152385">
          <w:pPr>
            <w:jc w:val="left"/>
            <w:rPr>
              <w:rFonts w:ascii="Open Sans Light" w:hAnsi="Open Sans Light" w:cs="Open Sans Light"/>
            </w:rPr>
          </w:pPr>
        </w:p>
      </w:tc>
      <w:tc>
        <w:tcPr>
          <w:tcW w:w="993" w:type="dxa"/>
          <w:vMerge/>
        </w:tcPr>
        <w:p w:rsidR="00BF4483" w:rsidRPr="00A90EA5" w:rsidRDefault="00D81340" w:rsidP="00152385">
          <w:pPr>
            <w:rPr>
              <w:rFonts w:ascii="Open Sans Light" w:hAnsi="Open Sans Light" w:cs="Open Sans Light"/>
            </w:rPr>
          </w:pPr>
        </w:p>
      </w:tc>
      <w:tc>
        <w:tcPr>
          <w:tcW w:w="2409" w:type="dxa"/>
          <w:tcBorders>
            <w:top w:val="single" w:sz="4" w:space="0" w:color="auto"/>
          </w:tcBorders>
          <w:tcMar>
            <w:left w:w="0" w:type="dxa"/>
          </w:tcMar>
        </w:tcPr>
        <w:p w:rsidR="00BF4483" w:rsidRPr="00A90EA5" w:rsidRDefault="00D81340" w:rsidP="00152385">
          <w:pPr>
            <w:jc w:val="left"/>
            <w:rPr>
              <w:rFonts w:ascii="Open Sans Light" w:hAnsi="Open Sans Light" w:cs="Open Sans Light"/>
              <w:sz w:val="14"/>
              <w:szCs w:val="14"/>
            </w:rPr>
          </w:pPr>
          <w:bookmarkStart w:id="2" w:name="UdkastDato2"/>
          <w:bookmarkEnd w:id="2"/>
        </w:p>
      </w:tc>
    </w:tr>
  </w:tbl>
  <w:p w:rsidR="00BF4483" w:rsidRPr="002F64A2" w:rsidRDefault="00D81340" w:rsidP="00547C09">
    <w:pPr>
      <w:pStyle w:val="Sidehoved"/>
      <w:rPr>
        <w:rFonts w:cs="Open San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A4755"/>
    <w:multiLevelType w:val="hybridMultilevel"/>
    <w:tmpl w:val="F4863D6E"/>
    <w:lvl w:ilvl="0" w:tplc="3684B10E">
      <w:numFmt w:val="bullet"/>
      <w:lvlText w:val="·"/>
      <w:lvlJc w:val="left"/>
      <w:pPr>
        <w:ind w:left="1260" w:hanging="360"/>
      </w:pPr>
      <w:rPr>
        <w:rFonts w:ascii="Open Sans" w:eastAsia="Times New Roman" w:hAnsi="Open Sans" w:cs="Open San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5CD21CE5"/>
    <w:multiLevelType w:val="multilevel"/>
    <w:tmpl w:val="33548ABE"/>
    <w:lvl w:ilvl="0">
      <w:start w:val="1"/>
      <w:numFmt w:val="decimal"/>
      <w:lvlRestart w:val="0"/>
      <w:pStyle w:val="BBDOverskrift1"/>
      <w:lvlText w:val="%1."/>
      <w:lvlJc w:val="left"/>
      <w:pPr>
        <w:tabs>
          <w:tab w:val="num" w:pos="850"/>
        </w:tabs>
        <w:ind w:left="850" w:hanging="850"/>
      </w:pPr>
      <w:rPr>
        <w:rFonts w:hint="default"/>
      </w:rPr>
    </w:lvl>
    <w:lvl w:ilvl="1">
      <w:start w:val="1"/>
      <w:numFmt w:val="decimal"/>
      <w:pStyle w:val="BBDOverskrift2"/>
      <w:lvlText w:val="%1.%2"/>
      <w:lvlJc w:val="left"/>
      <w:pPr>
        <w:tabs>
          <w:tab w:val="num" w:pos="850"/>
        </w:tabs>
        <w:ind w:left="850" w:hanging="850"/>
      </w:pPr>
      <w:rPr>
        <w:rFonts w:hint="default"/>
      </w:rPr>
    </w:lvl>
    <w:lvl w:ilvl="2">
      <w:start w:val="1"/>
      <w:numFmt w:val="decimal"/>
      <w:pStyle w:val="BBDOverskrift3"/>
      <w:lvlText w:val="%1.%2.%3"/>
      <w:lvlJc w:val="left"/>
      <w:pPr>
        <w:tabs>
          <w:tab w:val="num" w:pos="850"/>
        </w:tabs>
        <w:ind w:left="850" w:hanging="850"/>
      </w:pPr>
      <w:rPr>
        <w:rFonts w:hint="default"/>
      </w:rPr>
    </w:lvl>
    <w:lvl w:ilvl="3">
      <w:start w:val="1"/>
      <w:numFmt w:val="decimal"/>
      <w:pStyle w:val="BBDOverskrift4"/>
      <w:lvlText w:val="%1.%2.%3.%4"/>
      <w:lvlJc w:val="left"/>
      <w:pPr>
        <w:tabs>
          <w:tab w:val="num" w:pos="850"/>
        </w:tabs>
        <w:ind w:left="850" w:hanging="850"/>
      </w:pPr>
      <w:rPr>
        <w:rFonts w:hint="default"/>
      </w:rPr>
    </w:lvl>
    <w:lvl w:ilvl="4">
      <w:start w:val="1"/>
      <w:numFmt w:val="decimal"/>
      <w:lvlText w:val="%1.%2.%3.%4.%5."/>
      <w:lvlJc w:val="left"/>
      <w:pPr>
        <w:tabs>
          <w:tab w:val="num" w:pos="2517"/>
        </w:tabs>
        <w:ind w:left="2234" w:hanging="794"/>
      </w:pPr>
      <w:rPr>
        <w:rFonts w:hint="default"/>
      </w:rPr>
    </w:lvl>
    <w:lvl w:ilvl="5">
      <w:start w:val="1"/>
      <w:numFmt w:val="decimal"/>
      <w:lvlText w:val="%1.%2.%3.%4.%5.%6."/>
      <w:lvlJc w:val="left"/>
      <w:pPr>
        <w:tabs>
          <w:tab w:val="num" w:pos="2880"/>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3957"/>
        </w:tabs>
        <w:ind w:left="3742" w:hanging="1225"/>
      </w:pPr>
      <w:rPr>
        <w:rFonts w:hint="default"/>
      </w:rPr>
    </w:lvl>
    <w:lvl w:ilvl="8">
      <w:start w:val="1"/>
      <w:numFmt w:val="decimal"/>
      <w:lvlText w:val="%1.%2.%3.%4.%5.%6.%7.%8.%9."/>
      <w:lvlJc w:val="left"/>
      <w:pPr>
        <w:tabs>
          <w:tab w:val="num" w:pos="4677"/>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1304"/>
  <w:hyphenationZone w:val="425"/>
  <w:characterSpacingControl w:val="doNotCompress"/>
  <w:footnotePr>
    <w:footnote w:id="-1"/>
    <w:footnote w:id="0"/>
  </w:footnotePr>
  <w:endnotePr>
    <w:endnote w:id="-1"/>
    <w:endnote w:id="0"/>
  </w:endnotePr>
  <w:compat/>
  <w:rsids>
    <w:rsidRoot w:val="001E1418"/>
    <w:rsid w:val="0003715D"/>
    <w:rsid w:val="000C36E6"/>
    <w:rsid w:val="000D1FAC"/>
    <w:rsid w:val="00130A19"/>
    <w:rsid w:val="00145736"/>
    <w:rsid w:val="00145EE3"/>
    <w:rsid w:val="001E1418"/>
    <w:rsid w:val="00273F92"/>
    <w:rsid w:val="002D66EE"/>
    <w:rsid w:val="002D7992"/>
    <w:rsid w:val="002F7A25"/>
    <w:rsid w:val="00346829"/>
    <w:rsid w:val="0035225A"/>
    <w:rsid w:val="00353FD4"/>
    <w:rsid w:val="003D6390"/>
    <w:rsid w:val="004927B4"/>
    <w:rsid w:val="00562F19"/>
    <w:rsid w:val="00584B7D"/>
    <w:rsid w:val="005A56EA"/>
    <w:rsid w:val="005E1C11"/>
    <w:rsid w:val="006151C7"/>
    <w:rsid w:val="0062663D"/>
    <w:rsid w:val="0063319F"/>
    <w:rsid w:val="006570CA"/>
    <w:rsid w:val="006706AF"/>
    <w:rsid w:val="006C58BD"/>
    <w:rsid w:val="006E5DBB"/>
    <w:rsid w:val="00756464"/>
    <w:rsid w:val="00807D3F"/>
    <w:rsid w:val="00856817"/>
    <w:rsid w:val="008A4493"/>
    <w:rsid w:val="00907BD0"/>
    <w:rsid w:val="009B60B0"/>
    <w:rsid w:val="009F1B96"/>
    <w:rsid w:val="00A0650D"/>
    <w:rsid w:val="00A139C8"/>
    <w:rsid w:val="00A57B0A"/>
    <w:rsid w:val="00A90171"/>
    <w:rsid w:val="00AC2339"/>
    <w:rsid w:val="00AC70C8"/>
    <w:rsid w:val="00C04373"/>
    <w:rsid w:val="00C9394F"/>
    <w:rsid w:val="00CA698C"/>
    <w:rsid w:val="00D3187B"/>
    <w:rsid w:val="00D81340"/>
    <w:rsid w:val="00D86A7D"/>
    <w:rsid w:val="00DA19CF"/>
    <w:rsid w:val="00DA4975"/>
    <w:rsid w:val="00DD3156"/>
    <w:rsid w:val="00DF4D5A"/>
    <w:rsid w:val="00E13CC6"/>
    <w:rsid w:val="00E53D5E"/>
    <w:rsid w:val="00E60BEE"/>
    <w:rsid w:val="00F17924"/>
    <w:rsid w:val="00F36FEE"/>
    <w:rsid w:val="00F372C9"/>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418"/>
    <w:pPr>
      <w:tabs>
        <w:tab w:val="left" w:pos="850"/>
        <w:tab w:val="left" w:pos="1701"/>
        <w:tab w:val="left" w:pos="2835"/>
        <w:tab w:val="left" w:pos="5103"/>
        <w:tab w:val="right" w:pos="6521"/>
        <w:tab w:val="left" w:pos="6985"/>
        <w:tab w:val="right" w:pos="8505"/>
      </w:tabs>
      <w:spacing w:after="0" w:line="260" w:lineRule="atLeast"/>
      <w:jc w:val="both"/>
    </w:pPr>
    <w:rPr>
      <w:rFonts w:ascii="Open Sans" w:eastAsia="Times New Roman" w:hAnsi="Open Sans" w:cs="Times New Roman"/>
      <w:sz w:val="20"/>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1E1418"/>
    <w:pPr>
      <w:tabs>
        <w:tab w:val="left" w:pos="1021"/>
        <w:tab w:val="left" w:pos="1701"/>
        <w:tab w:val="left" w:pos="2835"/>
        <w:tab w:val="right" w:pos="8505"/>
      </w:tabs>
      <w:spacing w:after="0" w:line="280" w:lineRule="exact"/>
      <w:jc w:val="both"/>
    </w:pPr>
    <w:rPr>
      <w:rFonts w:ascii="Times New Roman" w:eastAsia="Times New Roman" w:hAnsi="Times New Roman" w:cs="Times New Roman"/>
      <w:sz w:val="20"/>
      <w:szCs w:val="20"/>
      <w:lang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dehoved">
    <w:name w:val="header"/>
    <w:basedOn w:val="Normal"/>
    <w:link w:val="SidehovedTegn"/>
    <w:rsid w:val="001E1418"/>
    <w:pPr>
      <w:tabs>
        <w:tab w:val="clear" w:pos="850"/>
        <w:tab w:val="clear" w:pos="1701"/>
        <w:tab w:val="clear" w:pos="2835"/>
        <w:tab w:val="clear" w:pos="5103"/>
        <w:tab w:val="clear" w:pos="6521"/>
        <w:tab w:val="center" w:pos="4819"/>
        <w:tab w:val="right" w:pos="9638"/>
      </w:tabs>
    </w:pPr>
  </w:style>
  <w:style w:type="character" w:customStyle="1" w:styleId="SidehovedTegn">
    <w:name w:val="Sidehoved Tegn"/>
    <w:basedOn w:val="Standardskrifttypeiafsnit"/>
    <w:link w:val="Sidehoved"/>
    <w:rsid w:val="001E1418"/>
    <w:rPr>
      <w:rFonts w:ascii="Open Sans" w:eastAsia="Times New Roman" w:hAnsi="Open Sans" w:cs="Times New Roman"/>
      <w:sz w:val="20"/>
      <w:szCs w:val="24"/>
    </w:rPr>
  </w:style>
  <w:style w:type="paragraph" w:styleId="Sidefod">
    <w:name w:val="footer"/>
    <w:basedOn w:val="Normal"/>
    <w:link w:val="SidefodTegn"/>
    <w:rsid w:val="001E1418"/>
    <w:pPr>
      <w:tabs>
        <w:tab w:val="clear" w:pos="850"/>
        <w:tab w:val="clear" w:pos="1701"/>
        <w:tab w:val="clear" w:pos="2835"/>
        <w:tab w:val="clear" w:pos="5103"/>
        <w:tab w:val="clear" w:pos="6521"/>
        <w:tab w:val="center" w:pos="4819"/>
        <w:tab w:val="right" w:pos="9638"/>
      </w:tabs>
    </w:pPr>
  </w:style>
  <w:style w:type="character" w:customStyle="1" w:styleId="SidefodTegn">
    <w:name w:val="Sidefod Tegn"/>
    <w:basedOn w:val="Standardskrifttypeiafsnit"/>
    <w:link w:val="Sidefod"/>
    <w:rsid w:val="001E1418"/>
    <w:rPr>
      <w:rFonts w:ascii="Open Sans" w:eastAsia="Times New Roman" w:hAnsi="Open Sans" w:cs="Times New Roman"/>
      <w:sz w:val="20"/>
      <w:szCs w:val="24"/>
    </w:rPr>
  </w:style>
  <w:style w:type="paragraph" w:customStyle="1" w:styleId="BBDTitel">
    <w:name w:val="BBDTitel"/>
    <w:basedOn w:val="Normal"/>
    <w:next w:val="Normal"/>
    <w:rsid w:val="001E1418"/>
    <w:pPr>
      <w:spacing w:line="380" w:lineRule="atLeast"/>
      <w:jc w:val="left"/>
    </w:pPr>
    <w:rPr>
      <w:spacing w:val="4"/>
      <w:sz w:val="32"/>
      <w:szCs w:val="20"/>
    </w:rPr>
  </w:style>
  <w:style w:type="paragraph" w:customStyle="1" w:styleId="BBDOverskrift1">
    <w:name w:val="BBDOverskrift 1"/>
    <w:basedOn w:val="Normal"/>
    <w:next w:val="Normal"/>
    <w:rsid w:val="001E1418"/>
    <w:pPr>
      <w:numPr>
        <w:numId w:val="1"/>
      </w:numPr>
      <w:ind w:left="851" w:hanging="851"/>
      <w:outlineLvl w:val="0"/>
    </w:pPr>
    <w:rPr>
      <w:b/>
      <w:szCs w:val="20"/>
    </w:rPr>
  </w:style>
  <w:style w:type="paragraph" w:customStyle="1" w:styleId="BBDOverskrift2">
    <w:name w:val="BBDOverskrift 2"/>
    <w:basedOn w:val="Normal"/>
    <w:next w:val="BBDIndryk2"/>
    <w:rsid w:val="001E1418"/>
    <w:pPr>
      <w:numPr>
        <w:ilvl w:val="1"/>
        <w:numId w:val="1"/>
      </w:numPr>
      <w:ind w:left="851" w:hanging="851"/>
    </w:pPr>
  </w:style>
  <w:style w:type="paragraph" w:customStyle="1" w:styleId="BBDOverskrift3">
    <w:name w:val="BBDOverskrift 3"/>
    <w:basedOn w:val="Normal"/>
    <w:next w:val="BBDIndryk2"/>
    <w:rsid w:val="001E1418"/>
    <w:pPr>
      <w:numPr>
        <w:ilvl w:val="2"/>
        <w:numId w:val="1"/>
      </w:numPr>
      <w:ind w:left="851" w:hanging="851"/>
    </w:pPr>
  </w:style>
  <w:style w:type="paragraph" w:customStyle="1" w:styleId="BBDOverskrift4">
    <w:name w:val="BBDOverskrift 4"/>
    <w:basedOn w:val="Normal"/>
    <w:next w:val="BBDIndryk2"/>
    <w:rsid w:val="001E1418"/>
    <w:pPr>
      <w:numPr>
        <w:ilvl w:val="3"/>
        <w:numId w:val="1"/>
      </w:numPr>
      <w:ind w:left="851" w:hanging="851"/>
    </w:pPr>
  </w:style>
  <w:style w:type="paragraph" w:customStyle="1" w:styleId="BBDIndryk2">
    <w:name w:val="BBDIndryk2"/>
    <w:basedOn w:val="Normal"/>
    <w:rsid w:val="001E1418"/>
    <w:pPr>
      <w:ind w:left="85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1402</Words>
  <Characters>8556</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HOFOR</Company>
  <LinksUpToDate>false</LinksUpToDate>
  <CharactersWithSpaces>9939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 Sylvest</dc:creator>
  <cp:lastModifiedBy>Finn Asmussen</cp:lastModifiedBy>
  <cp:revision>4</cp:revision>
  <dcterms:created xsi:type="dcterms:W3CDTF">2017-03-29T08:14:00Z</dcterms:created>
  <dcterms:modified xsi:type="dcterms:W3CDTF">2017-03-29T08:17:00Z</dcterms:modified>
</cp:coreProperties>
</file>