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5" w:type="dxa"/>
        <w:tblLayout w:type="fixed"/>
        <w:tblCellMar>
          <w:left w:w="0" w:type="dxa"/>
          <w:right w:w="0" w:type="dxa"/>
        </w:tblCellMar>
        <w:tblLook w:val="0000" w:firstRow="0" w:lastRow="0" w:firstColumn="0" w:lastColumn="0" w:noHBand="0" w:noVBand="0"/>
      </w:tblPr>
      <w:tblGrid>
        <w:gridCol w:w="1302"/>
        <w:gridCol w:w="5151"/>
        <w:gridCol w:w="3752"/>
      </w:tblGrid>
      <w:tr w:rsidR="00FA703C" w14:paraId="7C20D324" w14:textId="77777777" w:rsidTr="00132893">
        <w:trPr>
          <w:trHeight w:hRule="exact" w:val="680"/>
        </w:trPr>
        <w:tc>
          <w:tcPr>
            <w:tcW w:w="6453" w:type="dxa"/>
            <w:gridSpan w:val="2"/>
            <w:tcBorders>
              <w:bottom w:val="single" w:sz="4" w:space="0" w:color="auto"/>
            </w:tcBorders>
            <w:tcMar>
              <w:bottom w:w="170" w:type="dxa"/>
            </w:tcMar>
            <w:vAlign w:val="bottom"/>
          </w:tcPr>
          <w:p w14:paraId="0401714D" w14:textId="77777777" w:rsidR="005A47B2" w:rsidRDefault="00EA264C" w:rsidP="00132893">
            <w:pPr>
              <w:pStyle w:val="Dokumenttitel"/>
            </w:pPr>
            <w:r>
              <w:t>Notat</w:t>
            </w:r>
          </w:p>
        </w:tc>
        <w:tc>
          <w:tcPr>
            <w:tcW w:w="3752" w:type="dxa"/>
            <w:tcBorders>
              <w:bottom w:val="single" w:sz="4" w:space="0" w:color="auto"/>
            </w:tcBorders>
            <w:tcMar>
              <w:bottom w:w="170" w:type="dxa"/>
            </w:tcMar>
            <w:vAlign w:val="bottom"/>
          </w:tcPr>
          <w:p w14:paraId="46643CE3" w14:textId="46EB920A" w:rsidR="00132893" w:rsidRDefault="00EA264C" w:rsidP="00132893">
            <w:pPr>
              <w:jc w:val="right"/>
            </w:pPr>
            <w:r w:rsidRPr="00411D15">
              <w:rPr>
                <w:rStyle w:val="Labels"/>
              </w:rPr>
              <w:t>DATO:</w:t>
            </w:r>
            <w:r>
              <w:t xml:space="preserve"> </w:t>
            </w:r>
            <w:r>
              <w:fldChar w:fldCharType="begin"/>
            </w:r>
            <w:r>
              <w:instrText xml:space="preserve"> CREATEDATE  \@ "dd. MMMM yyyy"  </w:instrText>
            </w:r>
            <w:r>
              <w:fldChar w:fldCharType="separate"/>
            </w:r>
            <w:r w:rsidR="003E32C5">
              <w:rPr>
                <w:noProof/>
              </w:rPr>
              <w:t>30</w:t>
            </w:r>
            <w:r w:rsidR="00746190">
              <w:rPr>
                <w:noProof/>
              </w:rPr>
              <w:t xml:space="preserve">. </w:t>
            </w:r>
            <w:r w:rsidR="003E32C5">
              <w:rPr>
                <w:noProof/>
              </w:rPr>
              <w:t>april</w:t>
            </w:r>
            <w:r w:rsidR="00746190">
              <w:rPr>
                <w:noProof/>
              </w:rPr>
              <w:t xml:space="preserve"> 202</w:t>
            </w:r>
            <w:r w:rsidR="003E32C5">
              <w:rPr>
                <w:noProof/>
              </w:rPr>
              <w:t>6</w:t>
            </w:r>
            <w:r>
              <w:fldChar w:fldCharType="end"/>
            </w:r>
          </w:p>
          <w:p w14:paraId="0E80A6DC" w14:textId="6343E515" w:rsidR="00132893" w:rsidRDefault="00EA264C" w:rsidP="00132893">
            <w:pPr>
              <w:jc w:val="right"/>
            </w:pPr>
            <w:r w:rsidRPr="00411D15">
              <w:rPr>
                <w:rStyle w:val="Labels"/>
              </w:rPr>
              <w:t>PROJEKTNR.:</w:t>
            </w:r>
            <w:r w:rsidR="00AD06AD">
              <w:t xml:space="preserve"> 7043</w:t>
            </w:r>
          </w:p>
          <w:p w14:paraId="788E09F4" w14:textId="4D8CC701" w:rsidR="005A47B2" w:rsidRDefault="0022208B" w:rsidP="00132893">
            <w:pPr>
              <w:jc w:val="right"/>
            </w:pPr>
            <w:proofErr w:type="spellStart"/>
            <w:r>
              <w:t>cvh</w:t>
            </w:r>
            <w:r w:rsidR="00132893">
              <w:t>c</w:t>
            </w:r>
            <w:proofErr w:type="spellEnd"/>
            <w:r w:rsidR="00132893">
              <w:t>/</w:t>
            </w:r>
            <w:proofErr w:type="spellStart"/>
            <w:r>
              <w:t>olc</w:t>
            </w:r>
            <w:proofErr w:type="spellEnd"/>
            <w:r w:rsidR="00132893">
              <w:t>/</w:t>
            </w:r>
            <w:r w:rsidR="00206FBA">
              <w:rPr>
                <w:rFonts w:cs="Times New Roman"/>
                <w:caps/>
              </w:rPr>
              <w:t>HKA</w:t>
            </w:r>
          </w:p>
        </w:tc>
      </w:tr>
      <w:tr w:rsidR="00FA703C" w14:paraId="42782B48" w14:textId="77777777" w:rsidTr="007C229A">
        <w:trPr>
          <w:trHeight w:hRule="exact" w:val="737"/>
        </w:trPr>
        <w:tc>
          <w:tcPr>
            <w:tcW w:w="6453" w:type="dxa"/>
            <w:gridSpan w:val="2"/>
            <w:tcBorders>
              <w:top w:val="single" w:sz="4" w:space="0" w:color="auto"/>
            </w:tcBorders>
            <w:tcMar>
              <w:top w:w="737" w:type="dxa"/>
            </w:tcMar>
          </w:tcPr>
          <w:p w14:paraId="125115E0" w14:textId="77777777" w:rsidR="00B57F80" w:rsidRDefault="00B57F80" w:rsidP="00B57F80">
            <w:pPr>
              <w:spacing w:after="120"/>
              <w:rPr>
                <w:rStyle w:val="Labels"/>
              </w:rPr>
            </w:pPr>
          </w:p>
        </w:tc>
        <w:tc>
          <w:tcPr>
            <w:tcW w:w="3752" w:type="dxa"/>
            <w:tcBorders>
              <w:top w:val="single" w:sz="4" w:space="0" w:color="auto"/>
            </w:tcBorders>
            <w:tcMar>
              <w:top w:w="737" w:type="dxa"/>
            </w:tcMar>
          </w:tcPr>
          <w:p w14:paraId="4BC0E759" w14:textId="77777777" w:rsidR="00B57F80" w:rsidRPr="00411D15" w:rsidRDefault="00B57F80" w:rsidP="00B57F80">
            <w:pPr>
              <w:jc w:val="right"/>
              <w:rPr>
                <w:rStyle w:val="Labels"/>
              </w:rPr>
            </w:pPr>
          </w:p>
        </w:tc>
      </w:tr>
      <w:tr w:rsidR="00FA703C" w14:paraId="321B7F0E" w14:textId="77777777" w:rsidTr="00446D38">
        <w:tc>
          <w:tcPr>
            <w:tcW w:w="1302" w:type="dxa"/>
            <w:tcMar>
              <w:top w:w="0" w:type="dxa"/>
            </w:tcMar>
          </w:tcPr>
          <w:p w14:paraId="17213CDB" w14:textId="77777777" w:rsidR="00446D38" w:rsidRPr="001D4FE4" w:rsidRDefault="00EA264C" w:rsidP="001D4FE4">
            <w:pPr>
              <w:rPr>
                <w:b/>
                <w:bCs/>
                <w:sz w:val="30"/>
                <w:szCs w:val="30"/>
              </w:rPr>
            </w:pPr>
            <w:bookmarkStart w:id="0" w:name="Titel" w:colFirst="1" w:colLast="1"/>
            <w:r w:rsidRPr="001D4FE4">
              <w:rPr>
                <w:b/>
                <w:bCs/>
                <w:sz w:val="30"/>
                <w:szCs w:val="30"/>
              </w:rPr>
              <w:t>Vedr.:</w:t>
            </w:r>
          </w:p>
        </w:tc>
        <w:tc>
          <w:tcPr>
            <w:tcW w:w="8903" w:type="dxa"/>
            <w:gridSpan w:val="2"/>
          </w:tcPr>
          <w:p w14:paraId="71284CE9" w14:textId="2B153AF9" w:rsidR="00446D38" w:rsidRPr="001D4FE4" w:rsidRDefault="00F3076D" w:rsidP="001D4FE4">
            <w:pPr>
              <w:rPr>
                <w:rStyle w:val="Labels"/>
                <w:b w:val="0"/>
                <w:bCs/>
                <w:sz w:val="30"/>
                <w:szCs w:val="30"/>
              </w:rPr>
            </w:pPr>
            <w:r w:rsidRPr="001D4FE4">
              <w:rPr>
                <w:b/>
                <w:bCs/>
                <w:noProof/>
                <w:sz w:val="30"/>
                <w:szCs w:val="30"/>
              </w:rPr>
              <w:t xml:space="preserve">Baggrundskontrol og </w:t>
            </w:r>
            <w:r w:rsidR="0022208B" w:rsidRPr="001D4FE4">
              <w:rPr>
                <w:b/>
                <w:bCs/>
                <w:noProof/>
                <w:sz w:val="30"/>
                <w:szCs w:val="30"/>
              </w:rPr>
              <w:t>s</w:t>
            </w:r>
            <w:r w:rsidR="00EA264C" w:rsidRPr="001D4FE4">
              <w:rPr>
                <w:b/>
                <w:bCs/>
                <w:noProof/>
                <w:sz w:val="30"/>
                <w:szCs w:val="30"/>
              </w:rPr>
              <w:t>ikkerhedsgodkendelse af personale i vandsektoren</w:t>
            </w:r>
          </w:p>
        </w:tc>
      </w:tr>
      <w:bookmarkEnd w:id="0"/>
    </w:tbl>
    <w:p w14:paraId="73DAA0CD" w14:textId="77777777" w:rsidR="0033485F" w:rsidRDefault="0033485F" w:rsidP="005A47B2">
      <w:pPr>
        <w:rPr>
          <w:b/>
          <w:bCs/>
        </w:rPr>
      </w:pPr>
    </w:p>
    <w:p w14:paraId="361796E9" w14:textId="77777777" w:rsidR="0033485F" w:rsidRDefault="0033485F" w:rsidP="005A47B2">
      <w:pPr>
        <w:rPr>
          <w:b/>
          <w:bCs/>
        </w:rPr>
      </w:pPr>
    </w:p>
    <w:sdt>
      <w:sdtPr>
        <w:rPr>
          <w:rFonts w:ascii="Verdana" w:eastAsia="Times New Roman" w:hAnsi="Verdana" w:cs="Arial"/>
          <w:color w:val="auto"/>
          <w:sz w:val="18"/>
          <w:szCs w:val="24"/>
        </w:rPr>
        <w:id w:val="-1431033904"/>
        <w:docPartObj>
          <w:docPartGallery w:val="Table of Contents"/>
          <w:docPartUnique/>
        </w:docPartObj>
      </w:sdtPr>
      <w:sdtEndPr>
        <w:rPr>
          <w:b/>
          <w:bCs/>
        </w:rPr>
      </w:sdtEndPr>
      <w:sdtContent>
        <w:p w14:paraId="65F49F2A" w14:textId="5B182A18" w:rsidR="006B4E8B" w:rsidRDefault="006B4E8B">
          <w:pPr>
            <w:pStyle w:val="Overskrift"/>
          </w:pPr>
          <w:r>
            <w:t>Indhold</w:t>
          </w:r>
        </w:p>
        <w:p w14:paraId="3B2B47D1" w14:textId="6926E26B" w:rsidR="00CA72FC" w:rsidRDefault="006B4E8B">
          <w:pPr>
            <w:pStyle w:val="Indholdsfortegnelse2"/>
            <w:tabs>
              <w:tab w:val="right" w:leader="dot" w:pos="8777"/>
            </w:tabs>
            <w:rPr>
              <w:rFonts w:asciiTheme="minorHAnsi" w:eastAsiaTheme="minorEastAsia" w:hAnsiTheme="minorHAnsi" w:cstheme="minorBidi"/>
              <w:noProof/>
              <w:kern w:val="2"/>
              <w:sz w:val="24"/>
              <w14:ligatures w14:val="standardContextual"/>
            </w:rPr>
          </w:pPr>
          <w:r>
            <w:fldChar w:fldCharType="begin"/>
          </w:r>
          <w:r>
            <w:instrText xml:space="preserve"> TOC \o "1-3" \h \z \u </w:instrText>
          </w:r>
          <w:r>
            <w:fldChar w:fldCharType="separate"/>
          </w:r>
          <w:hyperlink w:anchor="_Toc229044310" w:history="1">
            <w:r w:rsidR="00CA72FC" w:rsidRPr="00D917D7">
              <w:rPr>
                <w:rStyle w:val="Hyperlink"/>
                <w:noProof/>
              </w:rPr>
              <w:t>Indledning</w:t>
            </w:r>
            <w:r w:rsidR="00CA72FC">
              <w:rPr>
                <w:noProof/>
                <w:webHidden/>
              </w:rPr>
              <w:tab/>
            </w:r>
            <w:r w:rsidR="00CA72FC">
              <w:rPr>
                <w:noProof/>
                <w:webHidden/>
              </w:rPr>
              <w:fldChar w:fldCharType="begin"/>
            </w:r>
            <w:r w:rsidR="00CA72FC">
              <w:rPr>
                <w:noProof/>
                <w:webHidden/>
              </w:rPr>
              <w:instrText xml:space="preserve"> PAGEREF _Toc229044310 \h </w:instrText>
            </w:r>
            <w:r w:rsidR="00CA72FC">
              <w:rPr>
                <w:noProof/>
                <w:webHidden/>
              </w:rPr>
            </w:r>
            <w:r w:rsidR="00CA72FC">
              <w:rPr>
                <w:noProof/>
                <w:webHidden/>
              </w:rPr>
              <w:fldChar w:fldCharType="separate"/>
            </w:r>
            <w:r w:rsidR="00CA72FC">
              <w:rPr>
                <w:noProof/>
                <w:webHidden/>
              </w:rPr>
              <w:t>1</w:t>
            </w:r>
            <w:r w:rsidR="00CA72FC">
              <w:rPr>
                <w:noProof/>
                <w:webHidden/>
              </w:rPr>
              <w:fldChar w:fldCharType="end"/>
            </w:r>
          </w:hyperlink>
        </w:p>
        <w:p w14:paraId="066EFCB0" w14:textId="22962CA4" w:rsidR="00CA72FC" w:rsidRDefault="00CA72FC">
          <w:pPr>
            <w:pStyle w:val="Indholdsfortegnelse2"/>
            <w:tabs>
              <w:tab w:val="right" w:leader="dot" w:pos="8777"/>
            </w:tabs>
            <w:rPr>
              <w:rFonts w:asciiTheme="minorHAnsi" w:eastAsiaTheme="minorEastAsia" w:hAnsiTheme="minorHAnsi" w:cstheme="minorBidi"/>
              <w:noProof/>
              <w:kern w:val="2"/>
              <w:sz w:val="24"/>
              <w14:ligatures w14:val="standardContextual"/>
            </w:rPr>
          </w:pPr>
          <w:hyperlink w:anchor="_Toc229044311" w:history="1">
            <w:r w:rsidRPr="00D917D7">
              <w:rPr>
                <w:rStyle w:val="Hyperlink"/>
                <w:noProof/>
              </w:rPr>
              <w:t>Forskellen på sikkerhedsgodkendelser og baggrundskontrol</w:t>
            </w:r>
            <w:r>
              <w:rPr>
                <w:noProof/>
                <w:webHidden/>
              </w:rPr>
              <w:tab/>
            </w:r>
            <w:r>
              <w:rPr>
                <w:noProof/>
                <w:webHidden/>
              </w:rPr>
              <w:fldChar w:fldCharType="begin"/>
            </w:r>
            <w:r>
              <w:rPr>
                <w:noProof/>
                <w:webHidden/>
              </w:rPr>
              <w:instrText xml:space="preserve"> PAGEREF _Toc229044311 \h </w:instrText>
            </w:r>
            <w:r>
              <w:rPr>
                <w:noProof/>
                <w:webHidden/>
              </w:rPr>
            </w:r>
            <w:r>
              <w:rPr>
                <w:noProof/>
                <w:webHidden/>
              </w:rPr>
              <w:fldChar w:fldCharType="separate"/>
            </w:r>
            <w:r>
              <w:rPr>
                <w:noProof/>
                <w:webHidden/>
              </w:rPr>
              <w:t>2</w:t>
            </w:r>
            <w:r>
              <w:rPr>
                <w:noProof/>
                <w:webHidden/>
              </w:rPr>
              <w:fldChar w:fldCharType="end"/>
            </w:r>
          </w:hyperlink>
        </w:p>
        <w:p w14:paraId="6AE0A4A8" w14:textId="5EE66F73" w:rsidR="00CA72FC" w:rsidRDefault="00CA72FC">
          <w:pPr>
            <w:pStyle w:val="Indholdsfortegnelse2"/>
            <w:tabs>
              <w:tab w:val="right" w:leader="dot" w:pos="8777"/>
            </w:tabs>
            <w:rPr>
              <w:rFonts w:asciiTheme="minorHAnsi" w:eastAsiaTheme="minorEastAsia" w:hAnsiTheme="minorHAnsi" w:cstheme="minorBidi"/>
              <w:noProof/>
              <w:kern w:val="2"/>
              <w:sz w:val="24"/>
              <w14:ligatures w14:val="standardContextual"/>
            </w:rPr>
          </w:pPr>
          <w:hyperlink w:anchor="_Toc229044312" w:history="1">
            <w:r w:rsidRPr="00D917D7">
              <w:rPr>
                <w:rStyle w:val="Hyperlink"/>
                <w:noProof/>
              </w:rPr>
              <w:t>Hvilke regler gælder for baggrundskontrol allerede?</w:t>
            </w:r>
            <w:r>
              <w:rPr>
                <w:noProof/>
                <w:webHidden/>
              </w:rPr>
              <w:tab/>
            </w:r>
            <w:r>
              <w:rPr>
                <w:noProof/>
                <w:webHidden/>
              </w:rPr>
              <w:fldChar w:fldCharType="begin"/>
            </w:r>
            <w:r>
              <w:rPr>
                <w:noProof/>
                <w:webHidden/>
              </w:rPr>
              <w:instrText xml:space="preserve"> PAGEREF _Toc229044312 \h </w:instrText>
            </w:r>
            <w:r>
              <w:rPr>
                <w:noProof/>
                <w:webHidden/>
              </w:rPr>
            </w:r>
            <w:r>
              <w:rPr>
                <w:noProof/>
                <w:webHidden/>
              </w:rPr>
              <w:fldChar w:fldCharType="separate"/>
            </w:r>
            <w:r>
              <w:rPr>
                <w:noProof/>
                <w:webHidden/>
              </w:rPr>
              <w:t>2</w:t>
            </w:r>
            <w:r>
              <w:rPr>
                <w:noProof/>
                <w:webHidden/>
              </w:rPr>
              <w:fldChar w:fldCharType="end"/>
            </w:r>
          </w:hyperlink>
        </w:p>
        <w:p w14:paraId="4719AE20" w14:textId="613B399E" w:rsidR="00CA72FC" w:rsidRDefault="00CA72FC">
          <w:pPr>
            <w:pStyle w:val="Indholdsfortegnelse2"/>
            <w:tabs>
              <w:tab w:val="right" w:leader="dot" w:pos="8777"/>
            </w:tabs>
            <w:rPr>
              <w:rFonts w:asciiTheme="minorHAnsi" w:eastAsiaTheme="minorEastAsia" w:hAnsiTheme="minorHAnsi" w:cstheme="minorBidi"/>
              <w:noProof/>
              <w:kern w:val="2"/>
              <w:sz w:val="24"/>
              <w14:ligatures w14:val="standardContextual"/>
            </w:rPr>
          </w:pPr>
          <w:hyperlink w:anchor="_Toc229044313" w:history="1">
            <w:r w:rsidRPr="00D917D7">
              <w:rPr>
                <w:rStyle w:val="Hyperlink"/>
                <w:noProof/>
              </w:rPr>
              <w:t>Må DANVAs medlemmer på vand- og spildevandsområdet foretage baggrundskontrol på nuværende tidspunkt?</w:t>
            </w:r>
            <w:r>
              <w:rPr>
                <w:noProof/>
                <w:webHidden/>
              </w:rPr>
              <w:tab/>
            </w:r>
            <w:r>
              <w:rPr>
                <w:noProof/>
                <w:webHidden/>
              </w:rPr>
              <w:fldChar w:fldCharType="begin"/>
            </w:r>
            <w:r>
              <w:rPr>
                <w:noProof/>
                <w:webHidden/>
              </w:rPr>
              <w:instrText xml:space="preserve"> PAGEREF _Toc229044313 \h </w:instrText>
            </w:r>
            <w:r>
              <w:rPr>
                <w:noProof/>
                <w:webHidden/>
              </w:rPr>
            </w:r>
            <w:r>
              <w:rPr>
                <w:noProof/>
                <w:webHidden/>
              </w:rPr>
              <w:fldChar w:fldCharType="separate"/>
            </w:r>
            <w:r>
              <w:rPr>
                <w:noProof/>
                <w:webHidden/>
              </w:rPr>
              <w:t>4</w:t>
            </w:r>
            <w:r>
              <w:rPr>
                <w:noProof/>
                <w:webHidden/>
              </w:rPr>
              <w:fldChar w:fldCharType="end"/>
            </w:r>
          </w:hyperlink>
        </w:p>
        <w:p w14:paraId="3F39ED72" w14:textId="7FAB4BC5" w:rsidR="00CA72FC" w:rsidRDefault="00CA72FC">
          <w:pPr>
            <w:pStyle w:val="Indholdsfortegnelse2"/>
            <w:tabs>
              <w:tab w:val="right" w:leader="dot" w:pos="8777"/>
            </w:tabs>
            <w:rPr>
              <w:rFonts w:asciiTheme="minorHAnsi" w:eastAsiaTheme="minorEastAsia" w:hAnsiTheme="minorHAnsi" w:cstheme="minorBidi"/>
              <w:noProof/>
              <w:kern w:val="2"/>
              <w:sz w:val="24"/>
              <w14:ligatures w14:val="standardContextual"/>
            </w:rPr>
          </w:pPr>
          <w:hyperlink w:anchor="_Toc229044314" w:history="1">
            <w:r w:rsidRPr="00D917D7">
              <w:rPr>
                <w:rStyle w:val="Hyperlink"/>
                <w:noProof/>
              </w:rPr>
              <w:t>Må DANVAs medlemmer foretage sikkerhedsgodkendelse?</w:t>
            </w:r>
            <w:r>
              <w:rPr>
                <w:noProof/>
                <w:webHidden/>
              </w:rPr>
              <w:tab/>
            </w:r>
            <w:r>
              <w:rPr>
                <w:noProof/>
                <w:webHidden/>
              </w:rPr>
              <w:fldChar w:fldCharType="begin"/>
            </w:r>
            <w:r>
              <w:rPr>
                <w:noProof/>
                <w:webHidden/>
              </w:rPr>
              <w:instrText xml:space="preserve"> PAGEREF _Toc229044314 \h </w:instrText>
            </w:r>
            <w:r>
              <w:rPr>
                <w:noProof/>
                <w:webHidden/>
              </w:rPr>
            </w:r>
            <w:r>
              <w:rPr>
                <w:noProof/>
                <w:webHidden/>
              </w:rPr>
              <w:fldChar w:fldCharType="separate"/>
            </w:r>
            <w:r>
              <w:rPr>
                <w:noProof/>
                <w:webHidden/>
              </w:rPr>
              <w:t>4</w:t>
            </w:r>
            <w:r>
              <w:rPr>
                <w:noProof/>
                <w:webHidden/>
              </w:rPr>
              <w:fldChar w:fldCharType="end"/>
            </w:r>
          </w:hyperlink>
        </w:p>
        <w:p w14:paraId="2C5716DE" w14:textId="72B6059F" w:rsidR="00CA72FC" w:rsidRDefault="00CA72FC">
          <w:pPr>
            <w:pStyle w:val="Indholdsfortegnelse2"/>
            <w:tabs>
              <w:tab w:val="right" w:leader="dot" w:pos="8777"/>
            </w:tabs>
            <w:rPr>
              <w:rFonts w:asciiTheme="minorHAnsi" w:eastAsiaTheme="minorEastAsia" w:hAnsiTheme="minorHAnsi" w:cstheme="minorBidi"/>
              <w:noProof/>
              <w:kern w:val="2"/>
              <w:sz w:val="24"/>
              <w14:ligatures w14:val="standardContextual"/>
            </w:rPr>
          </w:pPr>
          <w:hyperlink w:anchor="_Toc229044315" w:history="1">
            <w:r w:rsidRPr="00D917D7">
              <w:rPr>
                <w:rStyle w:val="Hyperlink"/>
                <w:noProof/>
              </w:rPr>
              <w:t>Hvilke personer skal sikkerhedsgodkendes</w:t>
            </w:r>
            <w:r>
              <w:rPr>
                <w:noProof/>
                <w:webHidden/>
              </w:rPr>
              <w:tab/>
            </w:r>
            <w:r>
              <w:rPr>
                <w:noProof/>
                <w:webHidden/>
              </w:rPr>
              <w:fldChar w:fldCharType="begin"/>
            </w:r>
            <w:r>
              <w:rPr>
                <w:noProof/>
                <w:webHidden/>
              </w:rPr>
              <w:instrText xml:space="preserve"> PAGEREF _Toc229044315 \h </w:instrText>
            </w:r>
            <w:r>
              <w:rPr>
                <w:noProof/>
                <w:webHidden/>
              </w:rPr>
            </w:r>
            <w:r>
              <w:rPr>
                <w:noProof/>
                <w:webHidden/>
              </w:rPr>
              <w:fldChar w:fldCharType="separate"/>
            </w:r>
            <w:r>
              <w:rPr>
                <w:noProof/>
                <w:webHidden/>
              </w:rPr>
              <w:t>5</w:t>
            </w:r>
            <w:r>
              <w:rPr>
                <w:noProof/>
                <w:webHidden/>
              </w:rPr>
              <w:fldChar w:fldCharType="end"/>
            </w:r>
          </w:hyperlink>
        </w:p>
        <w:p w14:paraId="2414FE12" w14:textId="194C2E6A" w:rsidR="00CA72FC" w:rsidRDefault="00CA72FC">
          <w:pPr>
            <w:pStyle w:val="Indholdsfortegnelse2"/>
            <w:tabs>
              <w:tab w:val="right" w:leader="dot" w:pos="8777"/>
            </w:tabs>
            <w:rPr>
              <w:rFonts w:asciiTheme="minorHAnsi" w:eastAsiaTheme="minorEastAsia" w:hAnsiTheme="minorHAnsi" w:cstheme="minorBidi"/>
              <w:noProof/>
              <w:kern w:val="2"/>
              <w:sz w:val="24"/>
              <w14:ligatures w14:val="standardContextual"/>
            </w:rPr>
          </w:pPr>
          <w:hyperlink w:anchor="_Toc229044316" w:history="1">
            <w:r w:rsidRPr="00D917D7">
              <w:rPr>
                <w:rStyle w:val="Hyperlink"/>
                <w:noProof/>
              </w:rPr>
              <w:t>Håndtering af nyansættelser</w:t>
            </w:r>
            <w:r>
              <w:rPr>
                <w:noProof/>
                <w:webHidden/>
              </w:rPr>
              <w:tab/>
            </w:r>
            <w:r>
              <w:rPr>
                <w:noProof/>
                <w:webHidden/>
              </w:rPr>
              <w:fldChar w:fldCharType="begin"/>
            </w:r>
            <w:r>
              <w:rPr>
                <w:noProof/>
                <w:webHidden/>
              </w:rPr>
              <w:instrText xml:space="preserve"> PAGEREF _Toc229044316 \h </w:instrText>
            </w:r>
            <w:r>
              <w:rPr>
                <w:noProof/>
                <w:webHidden/>
              </w:rPr>
            </w:r>
            <w:r>
              <w:rPr>
                <w:noProof/>
                <w:webHidden/>
              </w:rPr>
              <w:fldChar w:fldCharType="separate"/>
            </w:r>
            <w:r>
              <w:rPr>
                <w:noProof/>
                <w:webHidden/>
              </w:rPr>
              <w:t>6</w:t>
            </w:r>
            <w:r>
              <w:rPr>
                <w:noProof/>
                <w:webHidden/>
              </w:rPr>
              <w:fldChar w:fldCharType="end"/>
            </w:r>
          </w:hyperlink>
        </w:p>
        <w:p w14:paraId="5463AD96" w14:textId="1F47F66B" w:rsidR="00CA72FC" w:rsidRDefault="00CA72FC">
          <w:pPr>
            <w:pStyle w:val="Indholdsfortegnelse2"/>
            <w:tabs>
              <w:tab w:val="right" w:leader="dot" w:pos="8777"/>
            </w:tabs>
            <w:rPr>
              <w:rFonts w:asciiTheme="minorHAnsi" w:eastAsiaTheme="minorEastAsia" w:hAnsiTheme="minorHAnsi" w:cstheme="minorBidi"/>
              <w:noProof/>
              <w:kern w:val="2"/>
              <w:sz w:val="24"/>
              <w14:ligatures w14:val="standardContextual"/>
            </w:rPr>
          </w:pPr>
          <w:hyperlink w:anchor="_Toc229044317" w:history="1">
            <w:r w:rsidRPr="00D917D7">
              <w:rPr>
                <w:rStyle w:val="Hyperlink"/>
                <w:noProof/>
              </w:rPr>
              <w:t>Håndtering af eksisterende personale, der ikke kan sikkerhedsgodkendes</w:t>
            </w:r>
            <w:r>
              <w:rPr>
                <w:noProof/>
                <w:webHidden/>
              </w:rPr>
              <w:tab/>
            </w:r>
            <w:r>
              <w:rPr>
                <w:noProof/>
                <w:webHidden/>
              </w:rPr>
              <w:fldChar w:fldCharType="begin"/>
            </w:r>
            <w:r>
              <w:rPr>
                <w:noProof/>
                <w:webHidden/>
              </w:rPr>
              <w:instrText xml:space="preserve"> PAGEREF _Toc229044317 \h </w:instrText>
            </w:r>
            <w:r>
              <w:rPr>
                <w:noProof/>
                <w:webHidden/>
              </w:rPr>
            </w:r>
            <w:r>
              <w:rPr>
                <w:noProof/>
                <w:webHidden/>
              </w:rPr>
              <w:fldChar w:fldCharType="separate"/>
            </w:r>
            <w:r>
              <w:rPr>
                <w:noProof/>
                <w:webHidden/>
              </w:rPr>
              <w:t>6</w:t>
            </w:r>
            <w:r>
              <w:rPr>
                <w:noProof/>
                <w:webHidden/>
              </w:rPr>
              <w:fldChar w:fldCharType="end"/>
            </w:r>
          </w:hyperlink>
        </w:p>
        <w:p w14:paraId="0F07446A" w14:textId="773F4412" w:rsidR="00CA72FC" w:rsidRDefault="00CA72FC">
          <w:pPr>
            <w:pStyle w:val="Indholdsfortegnelse2"/>
            <w:tabs>
              <w:tab w:val="right" w:leader="dot" w:pos="8777"/>
            </w:tabs>
            <w:rPr>
              <w:rFonts w:asciiTheme="minorHAnsi" w:eastAsiaTheme="minorEastAsia" w:hAnsiTheme="minorHAnsi" w:cstheme="minorBidi"/>
              <w:noProof/>
              <w:kern w:val="2"/>
              <w:sz w:val="24"/>
              <w14:ligatures w14:val="standardContextual"/>
            </w:rPr>
          </w:pPr>
          <w:hyperlink w:anchor="_Toc229044318" w:history="1">
            <w:r w:rsidRPr="00D917D7">
              <w:rPr>
                <w:rStyle w:val="Hyperlink"/>
                <w:noProof/>
              </w:rPr>
              <w:t>Virksomhedernes ansvar for sikkerhedsgodkendelse af relevant personale</w:t>
            </w:r>
            <w:r>
              <w:rPr>
                <w:noProof/>
                <w:webHidden/>
              </w:rPr>
              <w:tab/>
            </w:r>
            <w:r>
              <w:rPr>
                <w:noProof/>
                <w:webHidden/>
              </w:rPr>
              <w:fldChar w:fldCharType="begin"/>
            </w:r>
            <w:r>
              <w:rPr>
                <w:noProof/>
                <w:webHidden/>
              </w:rPr>
              <w:instrText xml:space="preserve"> PAGEREF _Toc229044318 \h </w:instrText>
            </w:r>
            <w:r>
              <w:rPr>
                <w:noProof/>
                <w:webHidden/>
              </w:rPr>
            </w:r>
            <w:r>
              <w:rPr>
                <w:noProof/>
                <w:webHidden/>
              </w:rPr>
              <w:fldChar w:fldCharType="separate"/>
            </w:r>
            <w:r>
              <w:rPr>
                <w:noProof/>
                <w:webHidden/>
              </w:rPr>
              <w:t>6</w:t>
            </w:r>
            <w:r>
              <w:rPr>
                <w:noProof/>
                <w:webHidden/>
              </w:rPr>
              <w:fldChar w:fldCharType="end"/>
            </w:r>
          </w:hyperlink>
        </w:p>
        <w:p w14:paraId="24D83FB8" w14:textId="5745EC0A" w:rsidR="00CA72FC" w:rsidRDefault="00CA72FC">
          <w:pPr>
            <w:pStyle w:val="Indholdsfortegnelse2"/>
            <w:tabs>
              <w:tab w:val="right" w:leader="dot" w:pos="8777"/>
            </w:tabs>
            <w:rPr>
              <w:rFonts w:asciiTheme="minorHAnsi" w:eastAsiaTheme="minorEastAsia" w:hAnsiTheme="minorHAnsi" w:cstheme="minorBidi"/>
              <w:noProof/>
              <w:kern w:val="2"/>
              <w:sz w:val="24"/>
              <w14:ligatures w14:val="standardContextual"/>
            </w:rPr>
          </w:pPr>
          <w:hyperlink w:anchor="_Toc229044319" w:history="1">
            <w:r w:rsidRPr="00D917D7">
              <w:rPr>
                <w:rStyle w:val="Hyperlink"/>
                <w:noProof/>
              </w:rPr>
              <w:t>Kan der være forskellige aftaler hos forskellige fagforeninger?</w:t>
            </w:r>
            <w:r>
              <w:rPr>
                <w:noProof/>
                <w:webHidden/>
              </w:rPr>
              <w:tab/>
            </w:r>
            <w:r>
              <w:rPr>
                <w:noProof/>
                <w:webHidden/>
              </w:rPr>
              <w:fldChar w:fldCharType="begin"/>
            </w:r>
            <w:r>
              <w:rPr>
                <w:noProof/>
                <w:webHidden/>
              </w:rPr>
              <w:instrText xml:space="preserve"> PAGEREF _Toc229044319 \h </w:instrText>
            </w:r>
            <w:r>
              <w:rPr>
                <w:noProof/>
                <w:webHidden/>
              </w:rPr>
            </w:r>
            <w:r>
              <w:rPr>
                <w:noProof/>
                <w:webHidden/>
              </w:rPr>
              <w:fldChar w:fldCharType="separate"/>
            </w:r>
            <w:r>
              <w:rPr>
                <w:noProof/>
                <w:webHidden/>
              </w:rPr>
              <w:t>7</w:t>
            </w:r>
            <w:r>
              <w:rPr>
                <w:noProof/>
                <w:webHidden/>
              </w:rPr>
              <w:fldChar w:fldCharType="end"/>
            </w:r>
          </w:hyperlink>
        </w:p>
        <w:p w14:paraId="17114BF0" w14:textId="4DCC852A" w:rsidR="00CA72FC" w:rsidRDefault="00CA72FC">
          <w:pPr>
            <w:pStyle w:val="Indholdsfortegnelse2"/>
            <w:tabs>
              <w:tab w:val="right" w:leader="dot" w:pos="8777"/>
            </w:tabs>
            <w:rPr>
              <w:rFonts w:asciiTheme="minorHAnsi" w:eastAsiaTheme="minorEastAsia" w:hAnsiTheme="minorHAnsi" w:cstheme="minorBidi"/>
              <w:noProof/>
              <w:kern w:val="2"/>
              <w:sz w:val="24"/>
              <w14:ligatures w14:val="standardContextual"/>
            </w:rPr>
          </w:pPr>
          <w:hyperlink w:anchor="_Toc229044320" w:history="1">
            <w:r w:rsidRPr="00D917D7">
              <w:rPr>
                <w:rStyle w:val="Hyperlink"/>
                <w:noProof/>
              </w:rPr>
              <w:t>Andre erfaringer</w:t>
            </w:r>
            <w:r>
              <w:rPr>
                <w:noProof/>
                <w:webHidden/>
              </w:rPr>
              <w:tab/>
            </w:r>
            <w:r>
              <w:rPr>
                <w:noProof/>
                <w:webHidden/>
              </w:rPr>
              <w:fldChar w:fldCharType="begin"/>
            </w:r>
            <w:r>
              <w:rPr>
                <w:noProof/>
                <w:webHidden/>
              </w:rPr>
              <w:instrText xml:space="preserve"> PAGEREF _Toc229044320 \h </w:instrText>
            </w:r>
            <w:r>
              <w:rPr>
                <w:noProof/>
                <w:webHidden/>
              </w:rPr>
            </w:r>
            <w:r>
              <w:rPr>
                <w:noProof/>
                <w:webHidden/>
              </w:rPr>
              <w:fldChar w:fldCharType="separate"/>
            </w:r>
            <w:r>
              <w:rPr>
                <w:noProof/>
                <w:webHidden/>
              </w:rPr>
              <w:t>7</w:t>
            </w:r>
            <w:r>
              <w:rPr>
                <w:noProof/>
                <w:webHidden/>
              </w:rPr>
              <w:fldChar w:fldCharType="end"/>
            </w:r>
          </w:hyperlink>
        </w:p>
        <w:p w14:paraId="748AEEC3" w14:textId="0D9B04B7" w:rsidR="006B4E8B" w:rsidRDefault="006B4E8B">
          <w:r>
            <w:rPr>
              <w:b/>
              <w:bCs/>
            </w:rPr>
            <w:fldChar w:fldCharType="end"/>
          </w:r>
        </w:p>
      </w:sdtContent>
    </w:sdt>
    <w:p w14:paraId="368A88C7" w14:textId="2514DB74" w:rsidR="00976C09" w:rsidRPr="00976C09" w:rsidRDefault="00EA264C" w:rsidP="00293E2F">
      <w:pPr>
        <w:pStyle w:val="Overskrift2"/>
      </w:pPr>
      <w:bookmarkStart w:id="1" w:name="_Toc229044310"/>
      <w:r>
        <w:t>Indledning</w:t>
      </w:r>
      <w:bookmarkEnd w:id="1"/>
    </w:p>
    <w:p w14:paraId="24F18477" w14:textId="664FF8E7" w:rsidR="00FC63B9" w:rsidRDefault="00FC63B9" w:rsidP="005A47B2">
      <w:r>
        <w:t xml:space="preserve">Vandsektoren er defineret som kritisk infrastruktur, </w:t>
      </w:r>
      <w:r w:rsidR="00B904C7">
        <w:t xml:space="preserve">og </w:t>
      </w:r>
      <w:r w:rsidR="00167EF5">
        <w:t xml:space="preserve">stort set alle spildevandsselskaber samt </w:t>
      </w:r>
      <w:r w:rsidR="00CB7B9E">
        <w:t>vandselskaber</w:t>
      </w:r>
      <w:r w:rsidR="00C315AC">
        <w:t>,</w:t>
      </w:r>
      <w:r w:rsidR="00CB7B9E">
        <w:t xml:space="preserve"> som </w:t>
      </w:r>
      <w:r w:rsidR="00EC76F0">
        <w:t>debiterer m</w:t>
      </w:r>
      <w:r w:rsidR="0065645F">
        <w:t xml:space="preserve">indst </w:t>
      </w:r>
      <w:r w:rsidR="00EC76F0">
        <w:t>800.000 m</w:t>
      </w:r>
      <w:r w:rsidR="00EC76F0" w:rsidRPr="00951AE5">
        <w:rPr>
          <w:vertAlign w:val="superscript"/>
        </w:rPr>
        <w:t>3</w:t>
      </w:r>
      <w:r w:rsidR="00EC76F0">
        <w:t xml:space="preserve"> </w:t>
      </w:r>
      <w:r w:rsidR="0065645F">
        <w:t>drikkevand årligt</w:t>
      </w:r>
      <w:r w:rsidR="00C315AC">
        <w:t>,</w:t>
      </w:r>
      <w:r w:rsidR="0065645F">
        <w:t xml:space="preserve"> forventes at blive udpeget som kritiske </w:t>
      </w:r>
      <w:r w:rsidR="00CB0C28">
        <w:t>e</w:t>
      </w:r>
      <w:r w:rsidR="0065645F">
        <w:t>nh</w:t>
      </w:r>
      <w:r w:rsidR="00CB0C28">
        <w:t>e</w:t>
      </w:r>
      <w:r w:rsidR="0065645F">
        <w:t>der under CER-loven</w:t>
      </w:r>
      <w:r w:rsidR="00CB0C28">
        <w:t>. Dermed er d</w:t>
      </w:r>
      <w:r>
        <w:t xml:space="preserve">er en klar forventning om, at der vil blive fastsat regler for </w:t>
      </w:r>
      <w:r w:rsidR="00CB0C28">
        <w:t>baggrundsk</w:t>
      </w:r>
      <w:r w:rsidR="00B666E3">
        <w:t>ontrol</w:t>
      </w:r>
      <w:r w:rsidR="00CB0C28">
        <w:t xml:space="preserve"> og/eller </w:t>
      </w:r>
      <w:proofErr w:type="spellStart"/>
      <w:r>
        <w:t>sikkerhedsgodkendelse</w:t>
      </w:r>
      <w:proofErr w:type="spellEnd"/>
      <w:r>
        <w:t xml:space="preserve"> af udvalgt personale</w:t>
      </w:r>
      <w:r w:rsidR="00120FB2">
        <w:t>.</w:t>
      </w:r>
    </w:p>
    <w:p w14:paraId="4DB14D51" w14:textId="77777777" w:rsidR="00FC63B9" w:rsidRDefault="00FC63B9" w:rsidP="005A47B2"/>
    <w:p w14:paraId="45052E73" w14:textId="12024AF4" w:rsidR="00CD3123" w:rsidRDefault="00C56BB3" w:rsidP="005A47B2">
      <w:r>
        <w:t>Nærværende notat har til hensigt at be</w:t>
      </w:r>
      <w:r w:rsidR="002C3630">
        <w:t xml:space="preserve">lyse reglerne for baggrundskontrol af personale samt </w:t>
      </w:r>
      <w:r>
        <w:t xml:space="preserve">nuværende viden og praksis for </w:t>
      </w:r>
      <w:proofErr w:type="spellStart"/>
      <w:r>
        <w:t>sikkerhedsgodkendelse</w:t>
      </w:r>
      <w:proofErr w:type="spellEnd"/>
      <w:r>
        <w:t xml:space="preserve"> af personale</w:t>
      </w:r>
      <w:r w:rsidR="0056007B">
        <w:t xml:space="preserve"> baseret på regler og erfaring fra energisektoren.</w:t>
      </w:r>
    </w:p>
    <w:p w14:paraId="430634C2" w14:textId="77777777" w:rsidR="00CD3123" w:rsidRDefault="00CD3123" w:rsidP="005A47B2"/>
    <w:p w14:paraId="5E096E64" w14:textId="53370C73" w:rsidR="009B7E3C" w:rsidRDefault="009B7E3C" w:rsidP="005A47B2">
      <w:r>
        <w:t>Det skal præciseres</w:t>
      </w:r>
      <w:r w:rsidR="00F10EF8">
        <w:t>,</w:t>
      </w:r>
      <w:r>
        <w:t xml:space="preserve"> </w:t>
      </w:r>
      <w:r w:rsidR="00DF4D67">
        <w:t xml:space="preserve">at der ikke kan foretages </w:t>
      </w:r>
      <w:proofErr w:type="spellStart"/>
      <w:r w:rsidR="00DF4D67">
        <w:t>sikkerhedsgodkendelse</w:t>
      </w:r>
      <w:proofErr w:type="spellEnd"/>
      <w:r w:rsidR="00DF4D67">
        <w:t xml:space="preserve"> uden en hjemmel</w:t>
      </w:r>
      <w:r w:rsidR="00F10EF8">
        <w:t xml:space="preserve">. Der eksisterer </w:t>
      </w:r>
      <w:r w:rsidR="007F051B">
        <w:t>p</w:t>
      </w:r>
      <w:r w:rsidR="00C315AC">
        <w:t>.</w:t>
      </w:r>
      <w:r w:rsidR="007F051B">
        <w:t>t</w:t>
      </w:r>
      <w:r w:rsidR="00C315AC">
        <w:t>.</w:t>
      </w:r>
      <w:r w:rsidR="007F051B">
        <w:t xml:space="preserve"> ikke en hjemmel, som vandsektoren kan benytte sig</w:t>
      </w:r>
      <w:r w:rsidR="00C315AC">
        <w:t xml:space="preserve"> af</w:t>
      </w:r>
      <w:r w:rsidR="007F051B">
        <w:t xml:space="preserve">, hvorimod </w:t>
      </w:r>
      <w:r w:rsidR="00647F66">
        <w:t>baggrundsk</w:t>
      </w:r>
      <w:r w:rsidR="00606006">
        <w:t>ontrol</w:t>
      </w:r>
      <w:r w:rsidR="00647F66">
        <w:t xml:space="preserve"> kan gennemføres inden</w:t>
      </w:r>
      <w:r w:rsidR="00C315AC">
        <w:t xml:space="preserve"> </w:t>
      </w:r>
      <w:r w:rsidR="00647F66">
        <w:t>for gældende regler</w:t>
      </w:r>
      <w:r w:rsidR="00D2272F">
        <w:t xml:space="preserve"> </w:t>
      </w:r>
      <w:r w:rsidR="00667BB5">
        <w:t>(ansættelsesret og GDPR)</w:t>
      </w:r>
      <w:r w:rsidR="00647F66">
        <w:t xml:space="preserve"> </w:t>
      </w:r>
      <w:r w:rsidR="00667BB5">
        <w:t>samt</w:t>
      </w:r>
      <w:r w:rsidR="00647F66">
        <w:t xml:space="preserve"> overenskomstmæssige aftaler.</w:t>
      </w:r>
      <w:r w:rsidR="007F051B">
        <w:t xml:space="preserve"> </w:t>
      </w:r>
    </w:p>
    <w:p w14:paraId="765D1F16" w14:textId="77777777" w:rsidR="009B7E3C" w:rsidRDefault="009B7E3C" w:rsidP="005A47B2"/>
    <w:p w14:paraId="4F914A09" w14:textId="14F50E4A" w:rsidR="00746190" w:rsidRDefault="00647F66" w:rsidP="005A47B2">
      <w:r>
        <w:t>F</w:t>
      </w:r>
      <w:r w:rsidR="00CD3123">
        <w:t xml:space="preserve">orventningen </w:t>
      </w:r>
      <w:r w:rsidR="007D6CF0">
        <w:t>for vandsektoren</w:t>
      </w:r>
      <w:r w:rsidR="00584BF5">
        <w:t xml:space="preserve"> er</w:t>
      </w:r>
      <w:r w:rsidR="007D6CF0">
        <w:t>,</w:t>
      </w:r>
      <w:r w:rsidR="00CD3123">
        <w:t xml:space="preserve"> at der </w:t>
      </w:r>
      <w:r w:rsidR="00B27053">
        <w:t>formentlig bliver tale om baggrundsk</w:t>
      </w:r>
      <w:r w:rsidR="009509D8">
        <w:t>ontrol</w:t>
      </w:r>
      <w:r w:rsidR="00B27053">
        <w:t xml:space="preserve"> af personale</w:t>
      </w:r>
      <w:r w:rsidR="008D744C">
        <w:t xml:space="preserve"> for </w:t>
      </w:r>
      <w:r w:rsidR="001B498E">
        <w:t xml:space="preserve">de </w:t>
      </w:r>
      <w:r w:rsidR="008D744C">
        <w:t xml:space="preserve">enheder, </w:t>
      </w:r>
      <w:r w:rsidR="002C175A">
        <w:t xml:space="preserve">der </w:t>
      </w:r>
      <w:r w:rsidR="008D744C">
        <w:t>udpege</w:t>
      </w:r>
      <w:r w:rsidR="002C175A">
        <w:t>s</w:t>
      </w:r>
      <w:r w:rsidR="008D744C">
        <w:t xml:space="preserve"> som kritiske </w:t>
      </w:r>
      <w:r w:rsidR="00090CD2">
        <w:t>under CER-loven.</w:t>
      </w:r>
      <w:r w:rsidR="00B27053">
        <w:t xml:space="preserve"> </w:t>
      </w:r>
      <w:r w:rsidR="00C56BB3">
        <w:t xml:space="preserve"> </w:t>
      </w:r>
    </w:p>
    <w:p w14:paraId="56602C30" w14:textId="77777777" w:rsidR="00D101DF" w:rsidRDefault="00D101DF" w:rsidP="005A47B2"/>
    <w:p w14:paraId="72DF436A" w14:textId="71843AAB" w:rsidR="001F3759" w:rsidRDefault="00545BD6" w:rsidP="005A47B2">
      <w:r w:rsidRPr="00A51289">
        <w:t xml:space="preserve">Flere af </w:t>
      </w:r>
      <w:proofErr w:type="spellStart"/>
      <w:r w:rsidRPr="00A51289">
        <w:t>DANVAs</w:t>
      </w:r>
      <w:proofErr w:type="spellEnd"/>
      <w:r w:rsidRPr="00A51289">
        <w:t xml:space="preserve"> medlemmer er multiforsyninger, hvor nogle medarbejdere arbejder inden for f</w:t>
      </w:r>
      <w:r w:rsidR="0092729E">
        <w:t xml:space="preserve">lere </w:t>
      </w:r>
      <w:r w:rsidRPr="00A51289">
        <w:t>lovgivningsområder.</w:t>
      </w:r>
      <w:r w:rsidR="0058450E">
        <w:t xml:space="preserve"> </w:t>
      </w:r>
      <w:r w:rsidR="00B740BD">
        <w:t>Det er her</w:t>
      </w:r>
      <w:r w:rsidR="002D1C5F">
        <w:t xml:space="preserve"> vigtigt at have </w:t>
      </w:r>
      <w:r w:rsidR="00E26540">
        <w:t>sin organisering og ansættelses</w:t>
      </w:r>
      <w:r w:rsidR="00F22519">
        <w:t>forhold på plads</w:t>
      </w:r>
      <w:r w:rsidR="00DD1E25">
        <w:t xml:space="preserve"> efter de skrappeste krav</w:t>
      </w:r>
      <w:r w:rsidR="00FE2275">
        <w:t xml:space="preserve"> (</w:t>
      </w:r>
      <w:r w:rsidR="00BF4E96">
        <w:t>sikkerhedsgodkendelsen</w:t>
      </w:r>
      <w:r w:rsidR="00FE2275">
        <w:t>)</w:t>
      </w:r>
      <w:r w:rsidR="00BF4E96">
        <w:t xml:space="preserve">, </w:t>
      </w:r>
      <w:r w:rsidR="00597BBE">
        <w:t xml:space="preserve">hvorved det bliver muligt for medarbejdere </w:t>
      </w:r>
      <w:r w:rsidR="00765AA5">
        <w:t xml:space="preserve">at </w:t>
      </w:r>
      <w:r w:rsidR="00597BBE">
        <w:t xml:space="preserve">arbejde </w:t>
      </w:r>
      <w:r w:rsidR="00D15313">
        <w:t xml:space="preserve">både </w:t>
      </w:r>
      <w:r w:rsidR="00E1269F">
        <w:t xml:space="preserve">indenfor energisektoren og </w:t>
      </w:r>
      <w:r w:rsidR="00D15313">
        <w:t xml:space="preserve">vandsektoren. En </w:t>
      </w:r>
      <w:proofErr w:type="spellStart"/>
      <w:r w:rsidR="00D15313">
        <w:t>sikkerhedsgodkendelse</w:t>
      </w:r>
      <w:proofErr w:type="spellEnd"/>
      <w:r w:rsidR="00D15313">
        <w:t xml:space="preserve"> </w:t>
      </w:r>
      <w:r w:rsidR="00ED59DD">
        <w:t>vil omfatte baggrund</w:t>
      </w:r>
      <w:r w:rsidR="00ED658A">
        <w:t>skontrol</w:t>
      </w:r>
      <w:r w:rsidR="00ED59DD">
        <w:t>, men</w:t>
      </w:r>
      <w:r w:rsidR="003A26EC">
        <w:t>s</w:t>
      </w:r>
      <w:r w:rsidR="00ED59DD">
        <w:t xml:space="preserve"> baggrund</w:t>
      </w:r>
      <w:r w:rsidR="003A26EC">
        <w:t>sk</w:t>
      </w:r>
      <w:r w:rsidR="00ED658A">
        <w:t>ontrol</w:t>
      </w:r>
      <w:r w:rsidR="003A26EC">
        <w:t xml:space="preserve"> ikke vil være dækkende for en </w:t>
      </w:r>
      <w:proofErr w:type="spellStart"/>
      <w:r w:rsidR="003A26EC">
        <w:t>sikkerhedsgodkendelse</w:t>
      </w:r>
      <w:proofErr w:type="spellEnd"/>
      <w:r w:rsidR="003A26EC">
        <w:t xml:space="preserve">. </w:t>
      </w:r>
    </w:p>
    <w:p w14:paraId="3EEC8459" w14:textId="77777777" w:rsidR="001F3759" w:rsidRDefault="001F3759" w:rsidP="005A47B2"/>
    <w:p w14:paraId="75256F73" w14:textId="3DB8C456" w:rsidR="000D6AD8" w:rsidRPr="00A51289" w:rsidRDefault="00545BD6" w:rsidP="005A47B2">
      <w:r w:rsidRPr="00A51289">
        <w:t xml:space="preserve">DANVA arbejder for en ensartet lovgivning om </w:t>
      </w:r>
      <w:r w:rsidR="00F128D4">
        <w:t>baggrundskontrol/</w:t>
      </w:r>
      <w:proofErr w:type="spellStart"/>
      <w:r w:rsidRPr="00A51289">
        <w:t>sikkerhedsgodkendelse</w:t>
      </w:r>
      <w:proofErr w:type="spellEnd"/>
      <w:r w:rsidRPr="00A51289">
        <w:t xml:space="preserve"> på tværs af forsyningssektorerne. </w:t>
      </w:r>
      <w:r w:rsidR="007044E3">
        <w:t>De</w:t>
      </w:r>
      <w:r w:rsidRPr="00A51289">
        <w:t xml:space="preserve">t </w:t>
      </w:r>
      <w:r w:rsidR="007044E3">
        <w:t xml:space="preserve">synes </w:t>
      </w:r>
      <w:r w:rsidRPr="00A51289">
        <w:t xml:space="preserve">unødigt besværligt at skulle navigere i flere forskellige regelsæt. Formålet med </w:t>
      </w:r>
      <w:r w:rsidR="00995D7E">
        <w:t xml:space="preserve">personalesikkerhed </w:t>
      </w:r>
      <w:r w:rsidRPr="00A51289">
        <w:t>er at beskytte kritisk infrastruktur, hvorfor det ikke giver mening at differentiere lovgivningen på dette område.</w:t>
      </w:r>
    </w:p>
    <w:p w14:paraId="0823AE2B" w14:textId="77777777" w:rsidR="00B94F10" w:rsidRDefault="00B94F10" w:rsidP="005A47B2"/>
    <w:p w14:paraId="23A2FB8F" w14:textId="4332DC3D" w:rsidR="00976C09" w:rsidRDefault="0064553A" w:rsidP="005A47B2">
      <w:r>
        <w:t>I notatet er der forsøgt besvarelse på følgende tematikker:</w:t>
      </w:r>
    </w:p>
    <w:p w14:paraId="7598D1F7" w14:textId="77777777" w:rsidR="007C0462" w:rsidRDefault="007C0462" w:rsidP="005A47B2"/>
    <w:p w14:paraId="6FB279E3" w14:textId="229C9B38" w:rsidR="0064553A" w:rsidRDefault="00EA264C" w:rsidP="0064553A">
      <w:pPr>
        <w:pStyle w:val="Listeafsnit"/>
        <w:numPr>
          <w:ilvl w:val="0"/>
          <w:numId w:val="2"/>
        </w:numPr>
      </w:pPr>
      <w:r>
        <w:t>Hvilke personalegrupper skal sikkerhedsgodkendes?</w:t>
      </w:r>
    </w:p>
    <w:p w14:paraId="2944B1E7" w14:textId="6711D413" w:rsidR="00A37867" w:rsidRDefault="00EA264C" w:rsidP="00593C1C">
      <w:pPr>
        <w:pStyle w:val="Listeafsnit"/>
        <w:numPr>
          <w:ilvl w:val="0"/>
          <w:numId w:val="2"/>
        </w:numPr>
      </w:pPr>
      <w:r w:rsidRPr="00593C1C">
        <w:t>Håndtering af nyansættelser</w:t>
      </w:r>
      <w:r w:rsidR="00005D13">
        <w:t>.</w:t>
      </w:r>
    </w:p>
    <w:p w14:paraId="00D3BD5E" w14:textId="3201BA44" w:rsidR="00593C1C" w:rsidRPr="00593C1C" w:rsidRDefault="00EA264C" w:rsidP="00593C1C">
      <w:pPr>
        <w:pStyle w:val="Listeafsnit"/>
        <w:numPr>
          <w:ilvl w:val="0"/>
          <w:numId w:val="2"/>
        </w:numPr>
      </w:pPr>
      <w:r w:rsidRPr="00593C1C">
        <w:t>Håndtering af eksisterende personale, der ikke kan sikkerhedsgodkendes</w:t>
      </w:r>
      <w:r w:rsidR="00005D13">
        <w:t>.</w:t>
      </w:r>
    </w:p>
    <w:p w14:paraId="656100BD" w14:textId="0753829F" w:rsidR="0064553A" w:rsidRDefault="00EA2EB4" w:rsidP="0064553A">
      <w:pPr>
        <w:pStyle w:val="Listeafsnit"/>
        <w:numPr>
          <w:ilvl w:val="0"/>
          <w:numId w:val="2"/>
        </w:numPr>
      </w:pPr>
      <w:r>
        <w:t xml:space="preserve">Virksomhedernes ansvar </w:t>
      </w:r>
      <w:bookmarkStart w:id="2" w:name="_Hlk216855089"/>
      <w:r>
        <w:t xml:space="preserve">for </w:t>
      </w:r>
      <w:proofErr w:type="spellStart"/>
      <w:r>
        <w:t>sikkerhedsgodkendelse</w:t>
      </w:r>
      <w:proofErr w:type="spellEnd"/>
      <w:r>
        <w:t xml:space="preserve"> af relevant personale</w:t>
      </w:r>
      <w:r w:rsidR="00005D13">
        <w:t>.</w:t>
      </w:r>
    </w:p>
    <w:bookmarkEnd w:id="2"/>
    <w:p w14:paraId="5A9EF1B1" w14:textId="5ABFADA6" w:rsidR="0064553A" w:rsidRDefault="00EA264C" w:rsidP="0064553A">
      <w:pPr>
        <w:pStyle w:val="Listeafsnit"/>
        <w:numPr>
          <w:ilvl w:val="0"/>
          <w:numId w:val="2"/>
        </w:numPr>
      </w:pPr>
      <w:r>
        <w:t>Kan der være forskellige aftaler hos forskellige fagforeninger?</w:t>
      </w:r>
    </w:p>
    <w:p w14:paraId="043D786F" w14:textId="77777777" w:rsidR="00E542D3" w:rsidRDefault="00E542D3" w:rsidP="00E542D3"/>
    <w:p w14:paraId="6484423D" w14:textId="174DFC3C" w:rsidR="00E542D3" w:rsidRDefault="000E2AD2" w:rsidP="00E542D3">
      <w:r>
        <w:t>Som supplement til regelsættene er d</w:t>
      </w:r>
      <w:r w:rsidR="00AD06AD">
        <w:t>er gennem et DANVA-medlem søgt erfaringer</w:t>
      </w:r>
      <w:r w:rsidR="00D77F75">
        <w:t xml:space="preserve"> med </w:t>
      </w:r>
      <w:r w:rsidR="00AD06AD">
        <w:t xml:space="preserve">praksis og udfordringer </w:t>
      </w:r>
      <w:r w:rsidR="00D77F75">
        <w:t xml:space="preserve">i forbindelse med </w:t>
      </w:r>
      <w:r w:rsidR="00AD06AD">
        <w:t xml:space="preserve">efterlevelse af Bekendtgørelse om </w:t>
      </w:r>
      <w:proofErr w:type="spellStart"/>
      <w:r w:rsidR="00AD06AD">
        <w:t>sikkerhedsgodkendelse</w:t>
      </w:r>
      <w:proofErr w:type="spellEnd"/>
      <w:r w:rsidR="00AD06AD">
        <w:t xml:space="preserve"> i energisektoren. DANVA-medlemmet er en multiforsyning, og ha</w:t>
      </w:r>
      <w:r w:rsidR="009260A7">
        <w:t xml:space="preserve">vde på erfaringsopsamlingstidspunktet </w:t>
      </w:r>
      <w:r w:rsidR="00AD06AD">
        <w:t xml:space="preserve">cirka et ½ års erfaring med </w:t>
      </w:r>
      <w:r w:rsidR="007B03F0">
        <w:t>b</w:t>
      </w:r>
      <w:r w:rsidR="00AD06AD">
        <w:t xml:space="preserve">ekendtgørelsen. </w:t>
      </w:r>
    </w:p>
    <w:p w14:paraId="3E2BC78C" w14:textId="77777777" w:rsidR="00D93184" w:rsidRDefault="00D93184" w:rsidP="00E542D3"/>
    <w:p w14:paraId="31D0E931" w14:textId="4B8CE229" w:rsidR="00B725FD" w:rsidRDefault="00CB0F18" w:rsidP="00E542D3">
      <w:r>
        <w:t>Det forventes fortsat</w:t>
      </w:r>
      <w:r w:rsidR="00FA355C">
        <w:t>,</w:t>
      </w:r>
      <w:r>
        <w:t xml:space="preserve"> at der udarbejdes vejledning om baggrundsk</w:t>
      </w:r>
      <w:r w:rsidR="00826964">
        <w:t>ontrol</w:t>
      </w:r>
      <w:r w:rsidR="00880DBC">
        <w:t xml:space="preserve"> af </w:t>
      </w:r>
      <w:r w:rsidR="00E50049">
        <w:t>myndigheder</w:t>
      </w:r>
      <w:r w:rsidR="00880DBC">
        <w:t xml:space="preserve">ne. </w:t>
      </w:r>
      <w:r w:rsidR="00FA355C">
        <w:t>Når denne foreligger</w:t>
      </w:r>
      <w:r w:rsidR="006B7380">
        <w:t>,</w:t>
      </w:r>
      <w:r w:rsidR="00FA355C">
        <w:t xml:space="preserve"> vil det blive vurderet</w:t>
      </w:r>
      <w:r w:rsidR="00DF3A3C">
        <w:t>,</w:t>
      </w:r>
      <w:r w:rsidR="00FA355C">
        <w:t xml:space="preserve"> om n</w:t>
      </w:r>
      <w:r w:rsidR="00EA264C">
        <w:t xml:space="preserve">ærværende notat </w:t>
      </w:r>
      <w:r w:rsidR="00FA355C">
        <w:t xml:space="preserve">skal </w:t>
      </w:r>
      <w:r w:rsidR="00EA264C">
        <w:t>opdatere</w:t>
      </w:r>
      <w:r w:rsidR="00FA355C">
        <w:t>s</w:t>
      </w:r>
      <w:r w:rsidR="00C71C3F">
        <w:t>.</w:t>
      </w:r>
    </w:p>
    <w:p w14:paraId="1F06F60B" w14:textId="77777777" w:rsidR="005E47E3" w:rsidRDefault="005E47E3" w:rsidP="00E542D3"/>
    <w:p w14:paraId="5A977354" w14:textId="31C461FE" w:rsidR="00B725FD" w:rsidRPr="00B725FD" w:rsidRDefault="00B725FD" w:rsidP="006F5149">
      <w:pPr>
        <w:pStyle w:val="Overskrift2"/>
      </w:pPr>
      <w:bookmarkStart w:id="3" w:name="_Toc229044311"/>
      <w:r w:rsidRPr="00B725FD">
        <w:t xml:space="preserve">Forskellen på </w:t>
      </w:r>
      <w:proofErr w:type="spellStart"/>
      <w:r w:rsidRPr="00B725FD">
        <w:t>sikkerhedsgodkendelser</w:t>
      </w:r>
      <w:proofErr w:type="spellEnd"/>
      <w:r w:rsidRPr="00B725FD">
        <w:t xml:space="preserve"> og baggrundsk</w:t>
      </w:r>
      <w:r w:rsidR="00791875">
        <w:t>ontrol</w:t>
      </w:r>
      <w:bookmarkEnd w:id="3"/>
    </w:p>
    <w:p w14:paraId="7F30321B" w14:textId="4C205049" w:rsidR="00B725FD" w:rsidRPr="00B725FD" w:rsidRDefault="00B725FD" w:rsidP="00B725FD">
      <w:r w:rsidRPr="00B725FD">
        <w:t xml:space="preserve">Helt indledningsvist er det vigtigt at være opmærksom på, at der er en væsentlig forskel på </w:t>
      </w:r>
      <w:proofErr w:type="spellStart"/>
      <w:r w:rsidRPr="00B725FD">
        <w:t>sikkerhedsgodkendelser</w:t>
      </w:r>
      <w:proofErr w:type="spellEnd"/>
      <w:r w:rsidRPr="00B725FD">
        <w:t xml:space="preserve"> og baggrundsk</w:t>
      </w:r>
      <w:r w:rsidR="00791875">
        <w:t>ontrol</w:t>
      </w:r>
      <w:r w:rsidRPr="00B725FD">
        <w:t xml:space="preserve">. </w:t>
      </w:r>
    </w:p>
    <w:p w14:paraId="76FF38C8" w14:textId="77777777" w:rsidR="00B725FD" w:rsidRPr="00B725FD" w:rsidRDefault="00B725FD" w:rsidP="00B725FD"/>
    <w:p w14:paraId="38323DFA" w14:textId="76CD2D30" w:rsidR="00B725FD" w:rsidRPr="00B725FD" w:rsidRDefault="00B725FD" w:rsidP="00B725FD">
      <w:r w:rsidRPr="00B725FD">
        <w:t xml:space="preserve">En </w:t>
      </w:r>
      <w:proofErr w:type="spellStart"/>
      <w:r w:rsidRPr="00B725FD">
        <w:t>sikkerhedsgodkendelse</w:t>
      </w:r>
      <w:proofErr w:type="spellEnd"/>
      <w:r w:rsidRPr="00B725FD">
        <w:t xml:space="preserve"> bygger på en sikkerhedsundersøgelse foretaget af Politiets Efterretningstjeneste (PET). PET kan ikke udføre sikkerhedsundersøgelser for private virksomheder, og der skal således være en </w:t>
      </w:r>
      <w:r w:rsidRPr="00B725FD">
        <w:rPr>
          <w:i/>
          <w:iCs/>
        </w:rPr>
        <w:t xml:space="preserve">hjemmel, </w:t>
      </w:r>
      <w:r w:rsidRPr="00B725FD">
        <w:t xml:space="preserve">fx som § 6 i </w:t>
      </w:r>
      <w:r w:rsidR="00DF3A3C">
        <w:t>B</w:t>
      </w:r>
      <w:r w:rsidRPr="00B725FD">
        <w:t xml:space="preserve">ekendtgørelse om </w:t>
      </w:r>
      <w:proofErr w:type="spellStart"/>
      <w:r w:rsidRPr="00B725FD">
        <w:t>sikkerhedsgodkendelse</w:t>
      </w:r>
      <w:proofErr w:type="spellEnd"/>
      <w:r w:rsidRPr="00B725FD">
        <w:t xml:space="preserve"> i energisektoren, hvorefter materialet skal indsamles og indsendes til en offentlig myndighed, der herefter beder PET om at foretage sikkerhedsundersøgelsen. Med andre ord kan der ikke foretages en sikkerhedsundersøgelse og dermed laves en </w:t>
      </w:r>
      <w:proofErr w:type="spellStart"/>
      <w:r w:rsidRPr="00B725FD">
        <w:t>sikkerhedsgodkendelse</w:t>
      </w:r>
      <w:proofErr w:type="spellEnd"/>
      <w:r w:rsidRPr="00B725FD">
        <w:t xml:space="preserve"> for vandsektoren, medmindre der </w:t>
      </w:r>
      <w:r w:rsidR="00FE04EA">
        <w:t>komm</w:t>
      </w:r>
      <w:r w:rsidRPr="00B725FD">
        <w:t xml:space="preserve">er en klar og tydelig hjemmel hertil. </w:t>
      </w:r>
    </w:p>
    <w:p w14:paraId="7A807A41" w14:textId="77777777" w:rsidR="00B725FD" w:rsidRPr="00B725FD" w:rsidRDefault="00B725FD" w:rsidP="00B725FD"/>
    <w:p w14:paraId="2DDF1909" w14:textId="0C56B263" w:rsidR="00B725FD" w:rsidRPr="00B725FD" w:rsidRDefault="00B725FD" w:rsidP="00B725FD">
      <w:r w:rsidRPr="00B725FD">
        <w:t xml:space="preserve">På baggrund af </w:t>
      </w:r>
      <w:r w:rsidR="00442C7A">
        <w:t xml:space="preserve">tilkendegivelser </w:t>
      </w:r>
      <w:r w:rsidR="001A150A">
        <w:t>fra både Styrelsen for Samfundssik</w:t>
      </w:r>
      <w:r w:rsidR="00442C7A">
        <w:t>k</w:t>
      </w:r>
      <w:r w:rsidR="001A150A">
        <w:t>erhed</w:t>
      </w:r>
      <w:r w:rsidR="00725936">
        <w:t xml:space="preserve"> (</w:t>
      </w:r>
      <w:r w:rsidR="008E1469" w:rsidRPr="008E1469">
        <w:t>Den nationale strategi for styrkelse af kritiske enheders modstandsdygtighed</w:t>
      </w:r>
      <w:r w:rsidR="008E1469">
        <w:t>)</w:t>
      </w:r>
      <w:r w:rsidR="001A150A">
        <w:t xml:space="preserve"> og </w:t>
      </w:r>
      <w:r w:rsidRPr="00B725FD">
        <w:t xml:space="preserve">Miljøstyrelsen er det tvivlsomt, om der kommer en sådan hjemmel. Det skal hertil bemærkes, at en vejledning </w:t>
      </w:r>
      <w:r w:rsidR="00A35D2C">
        <w:t xml:space="preserve">alene/i sig selv </w:t>
      </w:r>
      <w:r w:rsidRPr="00B725FD">
        <w:t xml:space="preserve">ikke kan udgøre hjemlen til </w:t>
      </w:r>
      <w:proofErr w:type="spellStart"/>
      <w:r w:rsidRPr="00B725FD">
        <w:t>sikkerhedsgodkendelser</w:t>
      </w:r>
      <w:proofErr w:type="spellEnd"/>
      <w:r w:rsidRPr="00B725FD">
        <w:t xml:space="preserve">. </w:t>
      </w:r>
    </w:p>
    <w:p w14:paraId="62D026D7" w14:textId="77777777" w:rsidR="00B725FD" w:rsidRPr="00B725FD" w:rsidRDefault="00B725FD" w:rsidP="00B725FD"/>
    <w:p w14:paraId="666EE543" w14:textId="24E92DA6" w:rsidR="00B725FD" w:rsidRPr="00B725FD" w:rsidRDefault="00B725FD" w:rsidP="00B725FD">
      <w:r w:rsidRPr="00B725FD">
        <w:t xml:space="preserve">Som </w:t>
      </w:r>
      <w:proofErr w:type="spellStart"/>
      <w:r w:rsidR="0089190B">
        <w:t>DANVAs</w:t>
      </w:r>
      <w:proofErr w:type="spellEnd"/>
      <w:r w:rsidR="0089190B">
        <w:t xml:space="preserve"> </w:t>
      </w:r>
      <w:r w:rsidR="00697D8B">
        <w:t xml:space="preserve">sekretariat </w:t>
      </w:r>
      <w:r w:rsidRPr="00B725FD">
        <w:t>forstår Miljøstyrelsens svar, er det derimod hensigten, at der skal foretages såkaldte "baggrundsk</w:t>
      </w:r>
      <w:r w:rsidR="00CA61DE">
        <w:t>ontrol</w:t>
      </w:r>
      <w:r w:rsidRPr="00B725FD">
        <w:t>". E</w:t>
      </w:r>
      <w:r w:rsidR="00CA61DE">
        <w:t>n</w:t>
      </w:r>
      <w:r w:rsidRPr="00B725FD">
        <w:t xml:space="preserve"> baggrundsk</w:t>
      </w:r>
      <w:r w:rsidR="00CA61DE">
        <w:t>ontrol</w:t>
      </w:r>
      <w:r w:rsidRPr="00B725FD">
        <w:t xml:space="preserve"> kan typisk bestå af en verifikation af ID, kandidatens CV og referencer samt evt. tjek af andre offentligt tilgængelige kilder. Det kan desuden omfatte indhentelse af straffeattester i relevant omfang.</w:t>
      </w:r>
    </w:p>
    <w:p w14:paraId="7F8A42E9" w14:textId="77777777" w:rsidR="0089190B" w:rsidRPr="00B725FD" w:rsidRDefault="0089190B" w:rsidP="00B725FD"/>
    <w:p w14:paraId="034D6A1F" w14:textId="77777777" w:rsidR="00B725FD" w:rsidRPr="00B725FD" w:rsidRDefault="00B725FD" w:rsidP="006F5149">
      <w:pPr>
        <w:pStyle w:val="Overskrift2"/>
      </w:pPr>
      <w:bookmarkStart w:id="4" w:name="_Toc229044312"/>
      <w:r w:rsidRPr="00B725FD">
        <w:t>Hvilke regler gælder for baggrundskontrol allerede?</w:t>
      </w:r>
      <w:bookmarkEnd w:id="4"/>
    </w:p>
    <w:p w14:paraId="4BECE9B9" w14:textId="77777777" w:rsidR="00B725FD" w:rsidRPr="00B725FD" w:rsidRDefault="00B725FD" w:rsidP="00B725FD">
      <w:pPr>
        <w:rPr>
          <w:i/>
          <w:iCs/>
        </w:rPr>
      </w:pPr>
      <w:r w:rsidRPr="00B725FD">
        <w:rPr>
          <w:i/>
          <w:iCs/>
        </w:rPr>
        <w:t>NIS2-loven</w:t>
      </w:r>
    </w:p>
    <w:p w14:paraId="5ACF3C78" w14:textId="0C8E34E7" w:rsidR="00B725FD" w:rsidRPr="00B725FD" w:rsidRDefault="00B725FD" w:rsidP="00B725FD">
      <w:r w:rsidRPr="00B725FD">
        <w:t>Vand- og spildevandssektoren er omfattet af</w:t>
      </w:r>
      <w:r w:rsidR="001667C0">
        <w:t xml:space="preserve"> Lov om for</w:t>
      </w:r>
      <w:r w:rsidR="00D35665">
        <w:t xml:space="preserve">anstaltninger til sikring af et højt </w:t>
      </w:r>
      <w:proofErr w:type="spellStart"/>
      <w:r w:rsidR="00D35665">
        <w:t>cybersikkerhedsniveau</w:t>
      </w:r>
      <w:proofErr w:type="spellEnd"/>
      <w:r w:rsidR="0015408A">
        <w:t xml:space="preserve"> (</w:t>
      </w:r>
      <w:r w:rsidRPr="00B725FD">
        <w:t>NIS2</w:t>
      </w:r>
      <w:r w:rsidR="0015408A">
        <w:t>-loven)</w:t>
      </w:r>
      <w:r w:rsidRPr="00B725FD">
        <w:t>. Efter NIS2-lovens § 6, stk. 1, nr. 9, skal væsentlige og vigtige enheder bl.a. træffe passende og forholdsmæssige organisatoriske foranstaltninger om personalesikkerhed.</w:t>
      </w:r>
    </w:p>
    <w:p w14:paraId="5B4FA567" w14:textId="77777777" w:rsidR="00B725FD" w:rsidRPr="00B725FD" w:rsidRDefault="00B725FD" w:rsidP="00B725FD"/>
    <w:p w14:paraId="19894A25" w14:textId="77777777" w:rsidR="00B725FD" w:rsidRPr="00B725FD" w:rsidRDefault="00B725FD" w:rsidP="00B725FD">
      <w:r w:rsidRPr="00B725FD">
        <w:t>Det følger af vejledningen om foranstaltninger fra SAMSIK (</w:t>
      </w:r>
      <w:hyperlink r:id="rId11" w:history="1">
        <w:r w:rsidRPr="00B725FD">
          <w:rPr>
            <w:rStyle w:val="Hyperlink"/>
          </w:rPr>
          <w:t>https://samsik.dk/wp-content/uploads/2025/08/Vejledning-til-implementering-af-cybersikkerhedsforanstaltninger.pdf</w:t>
        </w:r>
      </w:hyperlink>
      <w:r w:rsidRPr="00B725FD">
        <w:t>, s. 52 f) at en foranstaltning, der kan understøtte kravene i NIS2-lovens § 6, stk. 1, nr. 9, kan være baggrundskontrol. Det fremgår:</w:t>
      </w:r>
    </w:p>
    <w:p w14:paraId="42EE2C3B" w14:textId="77777777" w:rsidR="00B725FD" w:rsidRPr="00B725FD" w:rsidRDefault="00B725FD" w:rsidP="00B725FD"/>
    <w:p w14:paraId="4623B584" w14:textId="77777777" w:rsidR="00B725FD" w:rsidRPr="00B725FD" w:rsidRDefault="00B725FD" w:rsidP="00B725FD">
      <w:r w:rsidRPr="00B725FD">
        <w:rPr>
          <w:i/>
          <w:iCs/>
        </w:rPr>
        <w:t xml:space="preserve">"Enheden kan udføre baggrundskontrol af nyansatte og, hvor det er relevant, af direkte leverandører og konsulenter, hvis det er påkrævet ud fra en risikovurdering af deres rolle, ansvar, beføjelser, og de net- og informationssystemer, som de får adgang til. Baggrundskontrol kan være alt fra kontrol af eksamensbeviser, jobreferencer, personers identitet (f.eks. ved fremvisning af </w:t>
      </w:r>
      <w:proofErr w:type="spellStart"/>
      <w:r w:rsidRPr="00B725FD">
        <w:rPr>
          <w:i/>
          <w:iCs/>
        </w:rPr>
        <w:t>billedelegitimation</w:t>
      </w:r>
      <w:proofErr w:type="spellEnd"/>
      <w:r w:rsidRPr="00B725FD">
        <w:rPr>
          <w:i/>
          <w:iCs/>
        </w:rPr>
        <w:t xml:space="preserve">), validering af certificering, til </w:t>
      </w:r>
      <w:proofErr w:type="spellStart"/>
      <w:r w:rsidRPr="00B725FD">
        <w:rPr>
          <w:i/>
          <w:iCs/>
        </w:rPr>
        <w:t>sikkerhedsgodkendelser</w:t>
      </w:r>
      <w:proofErr w:type="spellEnd"/>
      <w:r w:rsidRPr="00B725FD">
        <w:rPr>
          <w:i/>
          <w:iCs/>
        </w:rPr>
        <w:t xml:space="preserve"> i offentligt regi."</w:t>
      </w:r>
    </w:p>
    <w:p w14:paraId="62F759E0" w14:textId="77777777" w:rsidR="00B725FD" w:rsidRPr="00B725FD" w:rsidRDefault="00B725FD" w:rsidP="00B725FD"/>
    <w:p w14:paraId="463FC6CF" w14:textId="77777777" w:rsidR="00B725FD" w:rsidRPr="00B725FD" w:rsidRDefault="00B725FD" w:rsidP="00B725FD">
      <w:pPr>
        <w:rPr>
          <w:i/>
          <w:iCs/>
        </w:rPr>
      </w:pPr>
      <w:r w:rsidRPr="00B725FD">
        <w:rPr>
          <w:i/>
          <w:iCs/>
        </w:rPr>
        <w:t>Ansættelsesretlige regler</w:t>
      </w:r>
    </w:p>
    <w:p w14:paraId="17BAC446" w14:textId="64D6320A" w:rsidR="00B725FD" w:rsidRPr="00B725FD" w:rsidRDefault="00B725FD" w:rsidP="00B725FD">
      <w:r w:rsidRPr="00B725FD">
        <w:t>De ansættelsesretlige rammer for arbejdsgiveres indførelse af kontrolforanstaltninger findes i generelle kollektive aftaler om kontrolforanstaltninger: En kontrolforanstaltning kan fx være krav om baggrundsk</w:t>
      </w:r>
      <w:r w:rsidR="000E08DC">
        <w:t>ontrol</w:t>
      </w:r>
      <w:r w:rsidRPr="00B725FD">
        <w:t xml:space="preserve">. På det private overenskomstområde i aftale af 27. oktober 2007 mellem LO og DA vedrørende kontrolforanstaltninger og på det kommunale område i aftale af 1. april 2024 mellem KL og forhandlingsfællesskabet om kontrolforanstaltninger. </w:t>
      </w:r>
      <w:proofErr w:type="spellStart"/>
      <w:r w:rsidRPr="00B725FD">
        <w:t>DANVAs</w:t>
      </w:r>
      <w:proofErr w:type="spellEnd"/>
      <w:r w:rsidRPr="00B725FD">
        <w:t xml:space="preserve"> medlemmer vil typisk være dækket af en af de nævnte aftaler afhængig af deres overenskomstmæssige tilhørsforhold. Hvis det ikke måtte være tilfældet, vil der gælde samme rammer, som følger af de to nævnte aftaler, idet de anses for udtryk for generelle arbejds-/ansættelsesretlige principper. De ansættelsesretlige rammer – der i vidt omfang falder sammen med de GDPR-</w:t>
      </w:r>
      <w:proofErr w:type="spellStart"/>
      <w:r w:rsidRPr="00B725FD">
        <w:t>mæssige</w:t>
      </w:r>
      <w:proofErr w:type="spellEnd"/>
      <w:r w:rsidRPr="00B725FD">
        <w:t xml:space="preserve"> rammer – er som følger:</w:t>
      </w:r>
    </w:p>
    <w:p w14:paraId="7308796F" w14:textId="77777777" w:rsidR="00B725FD" w:rsidRPr="00B725FD" w:rsidRDefault="00B725FD" w:rsidP="00B725FD"/>
    <w:p w14:paraId="27278685" w14:textId="77777777" w:rsidR="00B725FD" w:rsidRPr="00B725FD" w:rsidRDefault="00B725FD" w:rsidP="008165BF">
      <w:pPr>
        <w:pStyle w:val="Listeafsnit"/>
        <w:numPr>
          <w:ilvl w:val="0"/>
          <w:numId w:val="7"/>
        </w:numPr>
      </w:pPr>
      <w:r w:rsidRPr="00B725FD">
        <w:t xml:space="preserve">Arbejdsgiver kan i medfør af ledelsesretten iværksætte kontrolforanstaltninger, hvis kontrolforanstaltningerne er sagligt begrundede i driftsmæssige årsager. </w:t>
      </w:r>
    </w:p>
    <w:p w14:paraId="32606513" w14:textId="77777777" w:rsidR="00B725FD" w:rsidRPr="00B725FD" w:rsidRDefault="00B725FD" w:rsidP="00B725FD"/>
    <w:p w14:paraId="37124BB1" w14:textId="77777777" w:rsidR="00B725FD" w:rsidRPr="00B725FD" w:rsidRDefault="00B725FD" w:rsidP="008165BF">
      <w:pPr>
        <w:pStyle w:val="Listeafsnit"/>
        <w:numPr>
          <w:ilvl w:val="0"/>
          <w:numId w:val="7"/>
        </w:numPr>
      </w:pPr>
      <w:r w:rsidRPr="00B725FD">
        <w:t xml:space="preserve">De tiltag, som iværksættes, skal være proportionale, dvs. at de ikke må være mere vidtgående, end det er nødvendigt for at varetage de driftsmæssige hensyn. Med andre ord skal der være et rimeligt forhold mellem mål og midler. Foranstaltningerne må ikke være krænkende eller nedværdigende over for medarbejderne. </w:t>
      </w:r>
    </w:p>
    <w:p w14:paraId="53EE8B35" w14:textId="77777777" w:rsidR="00B725FD" w:rsidRPr="00B725FD" w:rsidRDefault="00B725FD" w:rsidP="00B725FD"/>
    <w:p w14:paraId="015F5C28" w14:textId="77777777" w:rsidR="00B725FD" w:rsidRPr="00B725FD" w:rsidRDefault="00B725FD" w:rsidP="00B725FD">
      <w:r w:rsidRPr="00B725FD">
        <w:t xml:space="preserve">Herudover er det et krav, at arbejdsgiveren, medmindre der gælder uopsættelige behov, orienterer medarbejderne om de planlagte kontrolforanstaltninger senest seks uger forud for, at de iværksættes. Orienteringen skal indeholde oplysning om de driftsmæssige begrundelser for kontrolforanstaltningen, hvilke oplysninger der tilvejebringes gennem kontrolforanstaltningen, og hvordan de pågældende oplysninger vil blive håndteret.   </w:t>
      </w:r>
    </w:p>
    <w:p w14:paraId="425F0D39" w14:textId="77777777" w:rsidR="00B725FD" w:rsidRPr="00B725FD" w:rsidRDefault="00B725FD" w:rsidP="00B725FD"/>
    <w:p w14:paraId="538B215E" w14:textId="77777777" w:rsidR="00B725FD" w:rsidRPr="00B725FD" w:rsidRDefault="00B725FD" w:rsidP="00B725FD">
      <w:r w:rsidRPr="00B725FD">
        <w:t xml:space="preserve">Eventuelle tvister om indførelse af kontrolforanstaltninger skal efter de to nævnte aftaler behandles i det fagretslige system. </w:t>
      </w:r>
    </w:p>
    <w:p w14:paraId="1B8BFA67" w14:textId="77777777" w:rsidR="00B725FD" w:rsidRPr="00B725FD" w:rsidRDefault="00B725FD" w:rsidP="00B725FD"/>
    <w:p w14:paraId="6412006E" w14:textId="77777777" w:rsidR="00B725FD" w:rsidRPr="00B725FD" w:rsidRDefault="00B725FD" w:rsidP="00B725FD">
      <w:r w:rsidRPr="00B725FD">
        <w:t>Medarbejderne kan ikke give et generelt samtykke til iværksættelse af kontrolforanstaltninger, hverken forud for eller under ansættelsen, så indførelsen af kontrolforanstaltninger skal kunne gennemføres inden for rammerne af de nævnte aftaler og kan ikke baseres på samtykke.</w:t>
      </w:r>
    </w:p>
    <w:p w14:paraId="21A772F3" w14:textId="77777777" w:rsidR="00B725FD" w:rsidRPr="00B725FD" w:rsidRDefault="00B725FD" w:rsidP="00B725FD"/>
    <w:p w14:paraId="2FF198D7" w14:textId="77777777" w:rsidR="00B725FD" w:rsidRPr="00B725FD" w:rsidRDefault="00B725FD" w:rsidP="00B725FD">
      <w:r w:rsidRPr="00B725FD">
        <w:t xml:space="preserve">Som det fremgår, gælder der et ganske vidt rum for arbejdsgivers indførelse af kontrolforanstaltninger, så længe de grundlæggende principper om begrundelse, proportionalitet og information overholdes. </w:t>
      </w:r>
    </w:p>
    <w:p w14:paraId="62812B4C" w14:textId="77777777" w:rsidR="00B725FD" w:rsidRPr="00B725FD" w:rsidRDefault="00B725FD" w:rsidP="00B725FD">
      <w:r w:rsidRPr="00B725FD">
        <w:t>   </w:t>
      </w:r>
    </w:p>
    <w:p w14:paraId="1066EF7C" w14:textId="77777777" w:rsidR="00B725FD" w:rsidRPr="00B725FD" w:rsidRDefault="00B725FD" w:rsidP="00B725FD">
      <w:r w:rsidRPr="00B725FD">
        <w:rPr>
          <w:i/>
          <w:iCs/>
        </w:rPr>
        <w:t>Databeskyttelsesretlige rammer</w:t>
      </w:r>
    </w:p>
    <w:p w14:paraId="57FE1899" w14:textId="3165AF09" w:rsidR="00B725FD" w:rsidRPr="00B725FD" w:rsidRDefault="00B725FD" w:rsidP="00B725FD">
      <w:r w:rsidRPr="00B725FD">
        <w:t xml:space="preserve">Når der </w:t>
      </w:r>
      <w:r w:rsidR="00887C7C">
        <w:t xml:space="preserve">udføres </w:t>
      </w:r>
      <w:r w:rsidRPr="00B725FD">
        <w:t>baggrundsk</w:t>
      </w:r>
      <w:r w:rsidR="00887C7C">
        <w:t>ontrol</w:t>
      </w:r>
      <w:r w:rsidRPr="00B725FD">
        <w:t xml:space="preserve">, skal dette ske inden for rammerne af databeskyttelsesretten. </w:t>
      </w:r>
    </w:p>
    <w:p w14:paraId="4A029A65" w14:textId="77777777" w:rsidR="00B725FD" w:rsidRPr="00B725FD" w:rsidRDefault="00B725FD" w:rsidP="00B725FD"/>
    <w:p w14:paraId="60E9F559" w14:textId="2958F6AD" w:rsidR="00B725FD" w:rsidRPr="00B725FD" w:rsidRDefault="00B725FD" w:rsidP="00B725FD">
      <w:r w:rsidRPr="00B725FD">
        <w:t>Kravene efter databeskyttelsesretten indebærer først og fremmest, at behandlingen af personoplysninger ved baggrundsk</w:t>
      </w:r>
      <w:r w:rsidR="00B5700A">
        <w:t>ontrollen</w:t>
      </w:r>
      <w:r w:rsidRPr="00B725FD">
        <w:t xml:space="preserve"> skal være i overensstemmelse med de grundlæggende principper, fx om formålsbestemthed, dataminimering og opbevaringsbegrænsning. Der skal desuden være sagligt formål med at behandle oplysningerne. Dertil kommer, at der skal være et retligt grundlag for at behandle personoplysningerne (en såkaldt behandlingshjemmel).</w:t>
      </w:r>
    </w:p>
    <w:p w14:paraId="0A763D50" w14:textId="77777777" w:rsidR="00B725FD" w:rsidRPr="00B725FD" w:rsidRDefault="00B725FD" w:rsidP="00B725FD"/>
    <w:p w14:paraId="751AE1B4" w14:textId="4E7BDC83" w:rsidR="00B725FD" w:rsidRPr="00B725FD" w:rsidRDefault="00B725FD" w:rsidP="00B725FD">
      <w:r w:rsidRPr="00B725FD">
        <w:t>Herudover skal behandlingen af personoplysninger leve op til de registreredes rettigheder, herunder oplysningspligten, retten til indsigt, berigtigelse mv. Det betyder, at alle relevante medarbejdere skal have relevant information om baggrundsk</w:t>
      </w:r>
      <w:r w:rsidR="00366286">
        <w:t>ontrol</w:t>
      </w:r>
      <w:r w:rsidRPr="00B725FD">
        <w:t xml:space="preserve"> i en såkaldt privatlivspolitik. </w:t>
      </w:r>
    </w:p>
    <w:p w14:paraId="2351A6B6" w14:textId="77777777" w:rsidR="00B725FD" w:rsidRPr="00B725FD" w:rsidRDefault="00B725FD" w:rsidP="00B725FD"/>
    <w:p w14:paraId="0E755263" w14:textId="3AFFD260" w:rsidR="00B725FD" w:rsidRPr="00B725FD" w:rsidRDefault="00B725FD" w:rsidP="00B725FD">
      <w:r w:rsidRPr="00B725FD">
        <w:lastRenderedPageBreak/>
        <w:t xml:space="preserve">Øvrige krav i databeskyttelsesretten, fx om at lave en fortegnelse efter artikel 30, databehandleraftaler mv. skal ligeledes overholdes i forbindelse med baggrundskontroller. </w:t>
      </w:r>
    </w:p>
    <w:p w14:paraId="45E65145" w14:textId="77777777" w:rsidR="00B725FD" w:rsidRPr="00B725FD" w:rsidRDefault="00B725FD" w:rsidP="00B725FD"/>
    <w:p w14:paraId="2FC88B79" w14:textId="77777777" w:rsidR="00B725FD" w:rsidRPr="00B725FD" w:rsidRDefault="00B725FD" w:rsidP="00B725FD">
      <w:r w:rsidRPr="00B725FD">
        <w:t xml:space="preserve">Ved siden af ovenstående regler gælder særlige regler for at kunne indhente en straffeattest i bekendtgørelse nr. 1860 af 23. september 2021 om behandling af personoplysninger i Det Centrale Kriminalregister (kriminalregisterbekendtgørelsen). Efter § 11 i bekendtgørelsen udsteder politiet straffeattester for private personer, der er fyldt 15 år, når de pågældende fremsætter begæring herom. Derved kan en medarbejder bede om at få en straffeattest, som medarbejderen selv videresender til arbejdsgiveren. Alternativt kan arbejdsgiveren med samtykke fra medarbejderen indhente en straffeattest, jf. bekendtgørelsens § 17. </w:t>
      </w:r>
    </w:p>
    <w:p w14:paraId="3B9B7EC5" w14:textId="77777777" w:rsidR="00B725FD" w:rsidRPr="00B725FD" w:rsidRDefault="00B725FD" w:rsidP="00B725FD"/>
    <w:p w14:paraId="575B0EED" w14:textId="77777777" w:rsidR="00B725FD" w:rsidRPr="00B725FD" w:rsidRDefault="00B725FD" w:rsidP="00B725FD">
      <w:r w:rsidRPr="00B725FD">
        <w:t>De databeskyttelsesretlige rammer gælder, uanset om der er tale om nuværende eller nye medarbejdere.</w:t>
      </w:r>
    </w:p>
    <w:p w14:paraId="21A09DD1" w14:textId="77777777" w:rsidR="00CD6D2A" w:rsidRPr="00B725FD" w:rsidRDefault="00CD6D2A" w:rsidP="00B725FD"/>
    <w:p w14:paraId="6D169C54" w14:textId="5F1C3E2C" w:rsidR="00B725FD" w:rsidRPr="00B725FD" w:rsidRDefault="00B725FD" w:rsidP="006F5149">
      <w:pPr>
        <w:pStyle w:val="Overskrift2"/>
      </w:pPr>
      <w:bookmarkStart w:id="5" w:name="_Toc229044313"/>
      <w:r w:rsidRPr="00B725FD">
        <w:t xml:space="preserve">Må </w:t>
      </w:r>
      <w:proofErr w:type="spellStart"/>
      <w:r w:rsidRPr="00B725FD">
        <w:t>DANVAs</w:t>
      </w:r>
      <w:proofErr w:type="spellEnd"/>
      <w:r w:rsidRPr="00B725FD">
        <w:t xml:space="preserve"> medlemmer på vand- og spildevandsområdet foretage baggrundsk</w:t>
      </w:r>
      <w:r w:rsidR="00FD649D">
        <w:t>ontrol</w:t>
      </w:r>
      <w:r w:rsidRPr="00B725FD">
        <w:t xml:space="preserve"> på nuværende tidspunkt?</w:t>
      </w:r>
      <w:bookmarkEnd w:id="5"/>
    </w:p>
    <w:p w14:paraId="7A4E4DE7" w14:textId="4E7D2DF8" w:rsidR="00B725FD" w:rsidRPr="00B725FD" w:rsidRDefault="00B725FD" w:rsidP="00B725FD">
      <w:r w:rsidRPr="00B725FD">
        <w:t xml:space="preserve">Da </w:t>
      </w:r>
      <w:proofErr w:type="spellStart"/>
      <w:r w:rsidRPr="00B725FD">
        <w:t>DANVAs</w:t>
      </w:r>
      <w:proofErr w:type="spellEnd"/>
      <w:r w:rsidRPr="00B725FD">
        <w:t xml:space="preserve"> medlemmer er defineret som kritisk infrastruktur, vil der </w:t>
      </w:r>
      <w:r w:rsidR="002B733E">
        <w:t xml:space="preserve">ifølge en juridisk </w:t>
      </w:r>
      <w:r w:rsidRPr="00B725FD">
        <w:t>vurdering foreligge sagligt begrundede driftsmæssige årsager, som kan berettige til indførelsen af baggrundsk</w:t>
      </w:r>
      <w:r w:rsidR="00B06690">
        <w:t>ontrol</w:t>
      </w:r>
      <w:r w:rsidRPr="00B725FD">
        <w:t xml:space="preserve"> inden for de gældende ansættelsesretlige rammer for kontrolforanstaltninger.</w:t>
      </w:r>
    </w:p>
    <w:p w14:paraId="290F8E5B" w14:textId="77777777" w:rsidR="00B725FD" w:rsidRPr="00B725FD" w:rsidRDefault="00B725FD" w:rsidP="00B725FD"/>
    <w:p w14:paraId="54D50137" w14:textId="63AFE669" w:rsidR="00B725FD" w:rsidRPr="00B725FD" w:rsidRDefault="00B725FD" w:rsidP="00B725FD">
      <w:proofErr w:type="spellStart"/>
      <w:r w:rsidRPr="00B725FD">
        <w:t>DANVAs</w:t>
      </w:r>
      <w:proofErr w:type="spellEnd"/>
      <w:r w:rsidRPr="00B725FD">
        <w:t xml:space="preserve"> medlemmer kan inden for rammen af databeskyttelsesretlige rammer allerede nu foretage baggrundsk</w:t>
      </w:r>
      <w:r w:rsidR="00B06690">
        <w:t>ontrol</w:t>
      </w:r>
      <w:r w:rsidRPr="00B725FD">
        <w:t xml:space="preserve"> af nuværende og nye medarbejdere, forudsat en række betingelser overholdes. Det er således ikke nødvendigt at vente på </w:t>
      </w:r>
      <w:r w:rsidR="00BC72A1">
        <w:t xml:space="preserve">en </w:t>
      </w:r>
      <w:r w:rsidR="007C0AD9">
        <w:t xml:space="preserve">formodet </w:t>
      </w:r>
      <w:r w:rsidRPr="00B725FD">
        <w:t>vejledning</w:t>
      </w:r>
      <w:r w:rsidR="007C0AD9">
        <w:t xml:space="preserve"> fra Styrelsen for </w:t>
      </w:r>
      <w:r w:rsidR="00340750">
        <w:t>S</w:t>
      </w:r>
      <w:r w:rsidR="007C0AD9">
        <w:t>amfundssikkerhed eller Miljøstyrelsen</w:t>
      </w:r>
      <w:r w:rsidRPr="00B725FD">
        <w:t xml:space="preserve"> (om end vejledningen kan give nogle retningslinjer for, præcist hvilke oplysninger og hvilke medarbejdere der forventes baggrundsk</w:t>
      </w:r>
      <w:r w:rsidR="000F1B76">
        <w:t>ontrol</w:t>
      </w:r>
      <w:r w:rsidRPr="00B725FD">
        <w:t xml:space="preserve"> for).</w:t>
      </w:r>
    </w:p>
    <w:p w14:paraId="0A9C71C0" w14:textId="77777777" w:rsidR="00B725FD" w:rsidRPr="00B725FD" w:rsidRDefault="00B725FD" w:rsidP="00B725FD"/>
    <w:p w14:paraId="2EC49344" w14:textId="28560B5B" w:rsidR="00B725FD" w:rsidRPr="00B725FD" w:rsidRDefault="00B725FD" w:rsidP="00B725FD">
      <w:r w:rsidRPr="00B725FD">
        <w:t>For det første skal baggrundsk</w:t>
      </w:r>
      <w:r w:rsidR="000F1B76">
        <w:t>ontrol</w:t>
      </w:r>
      <w:r w:rsidRPr="00B725FD">
        <w:t xml:space="preserve"> kun foretages for relevante medarbejdere for at understøtte saglige formål. At varetage kravene i NIS2-lovens § 6, stk. 1, nr. 9, er et sagligt formål. Dertil kommer, at der skal foretages en konkret vurdering af, hvilke medarbejdere det er relevant at lave baggrundsk</w:t>
      </w:r>
      <w:r w:rsidR="008E64C5">
        <w:t>ontrol</w:t>
      </w:r>
      <w:r w:rsidRPr="00B725FD">
        <w:t xml:space="preserve"> for, samt hvilke oplysninger (herunder straffeattest) der konkret er relevante at indhente. Derudover er det alene de oplysninger, der er nødvendige for at foretage baggrundsk</w:t>
      </w:r>
      <w:r w:rsidR="008E64C5">
        <w:t>ontrollen</w:t>
      </w:r>
      <w:r w:rsidRPr="00B725FD">
        <w:t>, der skal behandles, og de skal alene behandles i den tidsperiode, der er relevant.</w:t>
      </w:r>
    </w:p>
    <w:p w14:paraId="46525A3D" w14:textId="77777777" w:rsidR="00B725FD" w:rsidRPr="00B725FD" w:rsidRDefault="00B725FD" w:rsidP="00B725FD"/>
    <w:p w14:paraId="605CBB63" w14:textId="66EF6CB6" w:rsidR="00B725FD" w:rsidRPr="00B725FD" w:rsidRDefault="00B725FD" w:rsidP="00B725FD">
      <w:r w:rsidRPr="00B725FD">
        <w:t xml:space="preserve">Der vil være hjemmel til at behandle oplysninger fra offentligt tilgængelige kilder, fx på LinkedIn og andre sociale medier, i overensstemmelse med kravene i NIS2-lovens § 6, stk. 1, nr. 9, og </w:t>
      </w:r>
      <w:r w:rsidR="00EF0AD8">
        <w:t>databeskyttel</w:t>
      </w:r>
      <w:r w:rsidR="00433FE8">
        <w:t xml:space="preserve">sesforordningens </w:t>
      </w:r>
      <w:r w:rsidRPr="00B725FD">
        <w:t xml:space="preserve">artikel 6, stk. 1, litra e, og evt. efter artikel 9, stk. 2, litra e, jf. artikel 6, stk. 1, litra e, hvis der er følsomme oplysninger. Der kan desuden være hjemmel til at behandle oplysninger om strafbare forhold efter databeskyttelseslovens § 8, stk. 2. Indhentelse af straffeattester kræver samtykke, jf. også kriminalregisterbekendtgørelsens § 17. </w:t>
      </w:r>
    </w:p>
    <w:p w14:paraId="608DAE03" w14:textId="77777777" w:rsidR="00B725FD" w:rsidRPr="00B725FD" w:rsidRDefault="00B725FD" w:rsidP="00B725FD"/>
    <w:p w14:paraId="36599C41" w14:textId="40F10DF2" w:rsidR="00B725FD" w:rsidRPr="00B725FD" w:rsidRDefault="00B725FD" w:rsidP="00B725FD">
      <w:r w:rsidRPr="00B725FD">
        <w:t xml:space="preserve">Derudover skal alle – nuværende såvel som nye – relevante medarbejdere have relevant information om indsamlingen af oplysninger i overensstemmelse med oplysningspligten i artikel 13 og 14. Derfor er det vigtigt at sikre, at alle senest samtidig med indsamlingen af oplysningerne har fået en privatlivspolitik, der omfatter indsamling af oplysninger til </w:t>
      </w:r>
      <w:proofErr w:type="spellStart"/>
      <w:r w:rsidRPr="00B725FD">
        <w:t>sikkerhedsgodkendelser</w:t>
      </w:r>
      <w:proofErr w:type="spellEnd"/>
      <w:r w:rsidRPr="00B725FD">
        <w:t>, hvis behandling af baggrundsk</w:t>
      </w:r>
      <w:r w:rsidR="00D14323">
        <w:t>ontrol</w:t>
      </w:r>
      <w:r w:rsidRPr="00B725FD">
        <w:t xml:space="preserve"> ikke fremgår af eksisterende privatlivspolitik.</w:t>
      </w:r>
    </w:p>
    <w:p w14:paraId="26CC4A6C" w14:textId="77777777" w:rsidR="00B725FD" w:rsidRPr="00B725FD" w:rsidRDefault="00B725FD" w:rsidP="00B725FD"/>
    <w:p w14:paraId="064FDECA" w14:textId="77777777" w:rsidR="00B725FD" w:rsidRPr="00B725FD" w:rsidRDefault="00B725FD" w:rsidP="00B725FD">
      <w:r w:rsidRPr="00B725FD">
        <w:t>Derudover skal øvrige regler på vanlig vis kunne overholdes, herunder de andre registreredes rettigheder om bl.a. indsigt og berigtigelse, samt øvrige krav til bl.a. fortegnelser i artikel 30.</w:t>
      </w:r>
    </w:p>
    <w:p w14:paraId="41229EC9" w14:textId="77777777" w:rsidR="00B725FD" w:rsidRPr="00B725FD" w:rsidRDefault="00B725FD" w:rsidP="00B725FD"/>
    <w:p w14:paraId="68324FB9" w14:textId="77777777" w:rsidR="00B725FD" w:rsidRPr="00B725FD" w:rsidRDefault="00B725FD" w:rsidP="006F5149">
      <w:pPr>
        <w:pStyle w:val="Overskrift2"/>
      </w:pPr>
      <w:bookmarkStart w:id="6" w:name="_Toc229044314"/>
      <w:r w:rsidRPr="00B725FD">
        <w:t xml:space="preserve">Må </w:t>
      </w:r>
      <w:proofErr w:type="spellStart"/>
      <w:r w:rsidRPr="00B725FD">
        <w:t>DANVAs</w:t>
      </w:r>
      <w:proofErr w:type="spellEnd"/>
      <w:r w:rsidRPr="00B725FD">
        <w:t xml:space="preserve"> medlemmer foretage </w:t>
      </w:r>
      <w:proofErr w:type="spellStart"/>
      <w:r w:rsidRPr="00B725FD">
        <w:t>sikkerhedsgodkendelse</w:t>
      </w:r>
      <w:proofErr w:type="spellEnd"/>
      <w:r w:rsidRPr="00B725FD">
        <w:t>?</w:t>
      </w:r>
      <w:bookmarkEnd w:id="6"/>
    </w:p>
    <w:p w14:paraId="6D2949B7" w14:textId="77777777" w:rsidR="00B725FD" w:rsidRPr="00B725FD" w:rsidRDefault="00B725FD" w:rsidP="00B725FD">
      <w:r w:rsidRPr="00B725FD">
        <w:t xml:space="preserve">Det er ikke muligt at foretage </w:t>
      </w:r>
      <w:proofErr w:type="spellStart"/>
      <w:r w:rsidRPr="00B725FD">
        <w:t>sikkerhedsgodkendelser</w:t>
      </w:r>
      <w:proofErr w:type="spellEnd"/>
      <w:r w:rsidRPr="00B725FD">
        <w:t xml:space="preserve"> uden hjemmel, jf. ovenfor.</w:t>
      </w:r>
    </w:p>
    <w:p w14:paraId="63FDE5B1" w14:textId="77777777" w:rsidR="00B725FD" w:rsidRPr="00B725FD" w:rsidRDefault="00B725FD" w:rsidP="00B725FD"/>
    <w:p w14:paraId="1E61AD04" w14:textId="77777777" w:rsidR="00B725FD" w:rsidRPr="00B725FD" w:rsidRDefault="00B725FD" w:rsidP="00B725FD">
      <w:r w:rsidRPr="00B725FD">
        <w:t xml:space="preserve">Hvis der kommer en hjemmel i lovgivningen, der minder om den på energiområdet, vil det være muligt at foretage </w:t>
      </w:r>
      <w:proofErr w:type="spellStart"/>
      <w:r w:rsidRPr="00B725FD">
        <w:t>sikkerhedsgodkendelser</w:t>
      </w:r>
      <w:proofErr w:type="spellEnd"/>
      <w:r w:rsidRPr="00B725FD">
        <w:t xml:space="preserve"> i overensstemmelse med denne hjemmel.</w:t>
      </w:r>
    </w:p>
    <w:p w14:paraId="243733A5" w14:textId="77777777" w:rsidR="00B725FD" w:rsidRPr="00B725FD" w:rsidRDefault="00B725FD" w:rsidP="00B725FD"/>
    <w:p w14:paraId="74C4F577" w14:textId="77777777" w:rsidR="00B725FD" w:rsidRPr="00B725FD" w:rsidRDefault="00B725FD" w:rsidP="00B725FD">
      <w:r w:rsidRPr="00B725FD">
        <w:t xml:space="preserve">Fra en ansættelsesretlig betragtning skal der afhængig af indholdet i hjemmelsbestemmelsen iagttages proportionalitet i forhold til </w:t>
      </w:r>
      <w:proofErr w:type="spellStart"/>
      <w:r w:rsidRPr="00B725FD">
        <w:t>sikkerhedsgodkendelser</w:t>
      </w:r>
      <w:proofErr w:type="spellEnd"/>
      <w:r w:rsidRPr="00B725FD">
        <w:t xml:space="preserve">, så denne ganske vidtgående kontrolforanstaltning kun rettes imod medarbejdere/medarbejderkategorier, som indtager positioner og funktioner, hvor der er et reelt behov for </w:t>
      </w:r>
      <w:proofErr w:type="spellStart"/>
      <w:r w:rsidRPr="00B725FD">
        <w:t>sikkerhedsgodkendelse</w:t>
      </w:r>
      <w:proofErr w:type="spellEnd"/>
      <w:r w:rsidRPr="00B725FD">
        <w:t xml:space="preserve">.   </w:t>
      </w:r>
    </w:p>
    <w:p w14:paraId="4309BCBC" w14:textId="77777777" w:rsidR="00B725FD" w:rsidRPr="00B725FD" w:rsidRDefault="00B725FD" w:rsidP="00B725FD"/>
    <w:p w14:paraId="679A3E5A" w14:textId="0563393A" w:rsidR="00B725FD" w:rsidRPr="00B725FD" w:rsidRDefault="00B725FD" w:rsidP="00B725FD">
      <w:r w:rsidRPr="00B725FD">
        <w:t xml:space="preserve">I relation til </w:t>
      </w:r>
      <w:r w:rsidRPr="00B725FD">
        <w:rPr>
          <w:i/>
          <w:iCs/>
        </w:rPr>
        <w:t>databeskyttelsesretten</w:t>
      </w:r>
      <w:r w:rsidRPr="00B725FD">
        <w:t xml:space="preserve"> vil det saglige formål og retlige grundlag for at behandle personoplysningerne være i en sådan bekendtgørelse. Det må således lægges til grund, at reglerne om behandlingshjemmel og de grundlæggende principper i artikel 5 i databeskyttelsesforordningen er overholdt, når indholdet i </w:t>
      </w:r>
      <w:r w:rsidR="00C00F7C">
        <w:t xml:space="preserve">en </w:t>
      </w:r>
      <w:r w:rsidRPr="00B725FD">
        <w:t>fremtidig bekendtgørelse følges. En sådan bekendtgørelse vil danne grundlag for at behandle oplysninger for både nuværende og nye medarbejdere.</w:t>
      </w:r>
    </w:p>
    <w:p w14:paraId="2356FC88" w14:textId="77777777" w:rsidR="00B725FD" w:rsidRPr="00B725FD" w:rsidRDefault="00B725FD" w:rsidP="00B725FD"/>
    <w:p w14:paraId="5B22AE38" w14:textId="2D0EE825" w:rsidR="00B725FD" w:rsidRPr="00B725FD" w:rsidRDefault="00B725FD" w:rsidP="00B725FD">
      <w:r w:rsidRPr="00B725FD">
        <w:t>Derudover skal alle – nuværende såvel som nye – relevante medarbejdere have relevant information om indsamlingen af oplysninger i overensstemmelse med oplysningspligten i artikel 13 og 14</w:t>
      </w:r>
      <w:r w:rsidR="00E05EEB">
        <w:t xml:space="preserve"> (databeskyttelsesforordningen)</w:t>
      </w:r>
      <w:r w:rsidRPr="00B725FD">
        <w:t xml:space="preserve">. Derfor er det vigtigt at sikre, at alle senest samtidig med indsamlingen af oplysningerne har fået en privatlivspolitik, der omfatter indsamling af oplysninger til </w:t>
      </w:r>
      <w:proofErr w:type="spellStart"/>
      <w:r w:rsidRPr="00B725FD">
        <w:t>sikkerhedsgodkendelser</w:t>
      </w:r>
      <w:proofErr w:type="spellEnd"/>
      <w:r w:rsidRPr="00B725FD">
        <w:t>.</w:t>
      </w:r>
    </w:p>
    <w:p w14:paraId="5C8278C1" w14:textId="77777777" w:rsidR="00B725FD" w:rsidRPr="00B725FD" w:rsidRDefault="00B725FD" w:rsidP="00B725FD"/>
    <w:p w14:paraId="145F58DC" w14:textId="77777777" w:rsidR="00B725FD" w:rsidRPr="00B725FD" w:rsidRDefault="00B725FD" w:rsidP="00B725FD">
      <w:r w:rsidRPr="00B725FD">
        <w:t>Derudover skal øvrige regler på vanlig vis kunne overholdes, herunder de andre registreredes rettigheder om bl.a. indsigt og berigtigelse, samt øvrige krav til bl.a. fortegnelser i artikel 30.</w:t>
      </w:r>
    </w:p>
    <w:p w14:paraId="1F85B63F" w14:textId="77777777" w:rsidR="005E47E3" w:rsidRDefault="005E47E3" w:rsidP="00E542D3"/>
    <w:p w14:paraId="48B65A0A" w14:textId="6EED6D9A" w:rsidR="00B27331" w:rsidRDefault="00EA264C" w:rsidP="006F5149">
      <w:pPr>
        <w:pStyle w:val="Overskrift2"/>
      </w:pPr>
      <w:bookmarkStart w:id="7" w:name="_Toc229044315"/>
      <w:r>
        <w:t>Hvilke personer skal sikkerhedsgodkendes</w:t>
      </w:r>
      <w:r w:rsidR="00D04B4F">
        <w:rPr>
          <w:rStyle w:val="Fodnotehenvisning"/>
        </w:rPr>
        <w:footnoteReference w:id="1"/>
      </w:r>
      <w:bookmarkEnd w:id="7"/>
      <w:r>
        <w:t xml:space="preserve"> </w:t>
      </w:r>
    </w:p>
    <w:p w14:paraId="4DBCAA31" w14:textId="7B1ED8A2" w:rsidR="0011585A" w:rsidRDefault="00EA264C" w:rsidP="00820FBF">
      <w:r w:rsidRPr="0011585A">
        <w:t xml:space="preserve">Ifølge § 3 i Bekendtgørelse om </w:t>
      </w:r>
      <w:proofErr w:type="spellStart"/>
      <w:r w:rsidRPr="0011585A">
        <w:t>sikkerhedsgodkendelse</w:t>
      </w:r>
      <w:proofErr w:type="spellEnd"/>
      <w:r w:rsidRPr="0011585A">
        <w:t xml:space="preserve"> i energisektoren skal følgende personalegrupper, der er ansat i, eller gennem kontraktuelle forhold for, virksomheder i niveau 3, 4 og 5 til at varetage følgende funktioner, sikkerhedsgodkendes til klassifikationsgraden FORTROLIGT, medmindre de er undtaget herfra efter stk. 3:</w:t>
      </w:r>
    </w:p>
    <w:p w14:paraId="6B2418C5" w14:textId="77777777" w:rsidR="00933FE7" w:rsidRDefault="00933FE7" w:rsidP="00820FBF"/>
    <w:p w14:paraId="1077EFF8" w14:textId="77777777" w:rsidR="00820FBF" w:rsidRPr="00820FBF" w:rsidRDefault="00EA264C" w:rsidP="00820FBF">
      <w:pPr>
        <w:numPr>
          <w:ilvl w:val="0"/>
          <w:numId w:val="3"/>
        </w:numPr>
      </w:pPr>
      <w:r w:rsidRPr="00820FBF">
        <w:t>Personer med mulighed for at afbryde forsyningen til store grupper af forbrugere, herunder adgang til industrielle kontrolsystemer eller kontrolrum.</w:t>
      </w:r>
    </w:p>
    <w:p w14:paraId="643DB7B0" w14:textId="77777777" w:rsidR="00820FBF" w:rsidRPr="00820FBF" w:rsidRDefault="00EA264C" w:rsidP="00820FBF">
      <w:pPr>
        <w:numPr>
          <w:ilvl w:val="0"/>
          <w:numId w:val="3"/>
        </w:numPr>
      </w:pPr>
      <w:r w:rsidRPr="00820FBF">
        <w:t>Personer med ansvar for forsyningskritiske net- og informationssystemer.</w:t>
      </w:r>
    </w:p>
    <w:p w14:paraId="2EBCB66D" w14:textId="77777777" w:rsidR="00820FBF" w:rsidRPr="00820FBF" w:rsidRDefault="00EA264C" w:rsidP="00820FBF">
      <w:pPr>
        <w:numPr>
          <w:ilvl w:val="0"/>
          <w:numId w:val="3"/>
        </w:numPr>
      </w:pPr>
      <w:r w:rsidRPr="00820FBF">
        <w:t>Personer med udvidede rettigheder i forsyningskritiske net- og informationssystemer.</w:t>
      </w:r>
    </w:p>
    <w:p w14:paraId="18AF451F" w14:textId="77777777" w:rsidR="00820FBF" w:rsidRPr="00820FBF" w:rsidRDefault="00EA264C" w:rsidP="00820FBF">
      <w:pPr>
        <w:numPr>
          <w:ilvl w:val="0"/>
          <w:numId w:val="3"/>
        </w:numPr>
      </w:pPr>
      <w:r w:rsidRPr="00820FBF">
        <w:t xml:space="preserve">Virksomhedens beredskabskoordinator, </w:t>
      </w:r>
      <w:proofErr w:type="spellStart"/>
      <w:r w:rsidRPr="00820FBF">
        <w:t>cyberkoordinator</w:t>
      </w:r>
      <w:proofErr w:type="spellEnd"/>
      <w:r w:rsidRPr="00820FBF">
        <w:t xml:space="preserve"> og sikringskoordinator.</w:t>
      </w:r>
    </w:p>
    <w:p w14:paraId="16FB81B8" w14:textId="77777777" w:rsidR="00820FBF" w:rsidRPr="00820FBF" w:rsidRDefault="00EA264C" w:rsidP="00820FBF">
      <w:pPr>
        <w:numPr>
          <w:ilvl w:val="0"/>
          <w:numId w:val="3"/>
        </w:numPr>
      </w:pPr>
      <w:r w:rsidRPr="00820FBF">
        <w:t>Personer med væsentlige fysiske eller logiske adgange til anlæg klassificeret i klasse 4 eller 5, som kan påvirke energiforsyningen direkte.</w:t>
      </w:r>
    </w:p>
    <w:p w14:paraId="49AC1FF3" w14:textId="77777777" w:rsidR="00820FBF" w:rsidRPr="00820FBF" w:rsidRDefault="00EA264C" w:rsidP="00820FBF">
      <w:pPr>
        <w:numPr>
          <w:ilvl w:val="0"/>
          <w:numId w:val="3"/>
        </w:numPr>
      </w:pPr>
      <w:r w:rsidRPr="00820FBF">
        <w:t xml:space="preserve">Personer ansvarlige for behandling af ansøgninger om </w:t>
      </w:r>
      <w:proofErr w:type="spellStart"/>
      <w:r w:rsidRPr="00820FBF">
        <w:t>sikkerhedsgodkendelser</w:t>
      </w:r>
      <w:proofErr w:type="spellEnd"/>
      <w:r w:rsidRPr="00820FBF">
        <w:t>.</w:t>
      </w:r>
    </w:p>
    <w:p w14:paraId="047626D7" w14:textId="77777777" w:rsidR="00933FE7" w:rsidRDefault="00933FE7" w:rsidP="00820FBF"/>
    <w:p w14:paraId="7996EB62" w14:textId="12B9FEF1" w:rsidR="00820FBF" w:rsidRDefault="00EA264C" w:rsidP="00820FBF">
      <w:r w:rsidRPr="00820FBF">
        <w:t>Derudover skal personer, der skal have indsigt i klassificerede informationer, sikkerhedsgodkendes svarende til klassifikationsgraden af de pågældende informationer (§ 3, stk. 2). Undtagelser gælder for personer med ledsaget adgang eller overvåget færden (§ 3, stk. 3)</w:t>
      </w:r>
    </w:p>
    <w:p w14:paraId="60AE0210" w14:textId="77777777" w:rsidR="00395B9D" w:rsidRDefault="00395B9D" w:rsidP="00820FBF"/>
    <w:p w14:paraId="501DE6A5" w14:textId="0667BB4F" w:rsidR="00793B89" w:rsidRDefault="00EA264C" w:rsidP="00820FBF">
      <w:r>
        <w:t>Definitionen af</w:t>
      </w:r>
      <w:r w:rsidR="00F57312">
        <w:t>,</w:t>
      </w:r>
      <w:r>
        <w:t xml:space="preserve"> hvilket niveau virksomhederne befinder sig på, kommer fra § 4, jf. bilag 1, pkt. 1.1, 1.2 og 1.3 i </w:t>
      </w:r>
      <w:r w:rsidR="00FD0818">
        <w:t>B</w:t>
      </w:r>
      <w:r>
        <w:t xml:space="preserve">ekendtgørelse nr. 260 af 6. marts 2025 om modstandsdygtighed og beredskab i energisektoren. I bekendtgørelsen bliver virksomhederne inddelt i niveauer efter tærskelværdier ud fra, hvor meget elektricitet de producerer eller forvalter på anden vis. Niveau 5 virksomheder er de virksomheder med de højeste tærskelværdier, mens niveau 3 virksomheder er de mindste, der påvirkes af overstående regler. Det kan umiddelbart forventes, at der vil komme en lignende inddeling af vandselskaberne, der går på mængden af vand, der produceres eller forvaltes. </w:t>
      </w:r>
    </w:p>
    <w:p w14:paraId="224F0BC9" w14:textId="77777777" w:rsidR="00793B89" w:rsidRDefault="00793B89" w:rsidP="00820FBF"/>
    <w:p w14:paraId="66AB8D79" w14:textId="41AD2E72" w:rsidR="0077052D" w:rsidRPr="00B139E9" w:rsidRDefault="00B139E9" w:rsidP="00820FBF">
      <w:pPr>
        <w:rPr>
          <w:i/>
          <w:iCs/>
        </w:rPr>
      </w:pPr>
      <w:r>
        <w:t>Klassifikationsgraden FORTROLIG defineres i Cirkulære om sikkerhedsbeskyttelse som: ”</w:t>
      </w:r>
      <w:r>
        <w:rPr>
          <w:i/>
          <w:iCs/>
        </w:rPr>
        <w:t xml:space="preserve">Denne klassifikationsgrad skal anvendes om informationer, hvis videregivelse uden dertil indhentet bemyndigelse ville kunne forvolde Danmark eller landene i NATO eller </w:t>
      </w:r>
      <w:proofErr w:type="gramStart"/>
      <w:r>
        <w:rPr>
          <w:i/>
          <w:iCs/>
        </w:rPr>
        <w:t>EU skade</w:t>
      </w:r>
      <w:proofErr w:type="gramEnd"/>
      <w:r>
        <w:rPr>
          <w:i/>
          <w:iCs/>
        </w:rPr>
        <w:t>”</w:t>
      </w:r>
    </w:p>
    <w:p w14:paraId="2DF7AE93" w14:textId="77777777" w:rsidR="00B179AC" w:rsidRDefault="00B179AC" w:rsidP="00820FBF">
      <w:pPr>
        <w:rPr>
          <w:b/>
          <w:bCs/>
        </w:rPr>
      </w:pPr>
    </w:p>
    <w:p w14:paraId="3FB86C14" w14:textId="65BFE673" w:rsidR="00820FBF" w:rsidRDefault="00593C1C" w:rsidP="006F5149">
      <w:pPr>
        <w:pStyle w:val="Overskrift2"/>
      </w:pPr>
      <w:bookmarkStart w:id="8" w:name="_Toc229044316"/>
      <w:r>
        <w:lastRenderedPageBreak/>
        <w:t>Håndtering af nyansættelser</w:t>
      </w:r>
      <w:bookmarkEnd w:id="8"/>
    </w:p>
    <w:p w14:paraId="747485B9" w14:textId="6EAD1A2C" w:rsidR="00132E2F" w:rsidRPr="001C189E" w:rsidRDefault="00EA264C" w:rsidP="001C189E">
      <w:pPr>
        <w:rPr>
          <w:u w:val="single"/>
        </w:rPr>
      </w:pPr>
      <w:r w:rsidRPr="001C189E">
        <w:rPr>
          <w:u w:val="single"/>
        </w:rPr>
        <w:t xml:space="preserve">Kan man betinge en nyansættelse af, at vedkommende skal kunne sikkerhedsgodkendes? </w:t>
      </w:r>
    </w:p>
    <w:p w14:paraId="51156CCB" w14:textId="77777777" w:rsidR="000B589D" w:rsidRDefault="001C189E" w:rsidP="001C189E">
      <w:r>
        <w:t xml:space="preserve">Ifølge §3, stk. 1, nr. 7 i Bekendtgørelse om </w:t>
      </w:r>
      <w:proofErr w:type="spellStart"/>
      <w:r>
        <w:t>sikkerhedsgodkendelse</w:t>
      </w:r>
      <w:proofErr w:type="spellEnd"/>
      <w:r>
        <w:t xml:space="preserve"> i energisektoren, skal personer, der overvejes ansat, sikkerhedsgodkendes, hvis deres opgaver indebærer nogle af de førnævnte punkt 1-6. </w:t>
      </w:r>
    </w:p>
    <w:p w14:paraId="761438BD" w14:textId="77777777" w:rsidR="000B589D" w:rsidRDefault="000B589D" w:rsidP="001C189E"/>
    <w:p w14:paraId="6028121C" w14:textId="2B03B07D" w:rsidR="009070C8" w:rsidRDefault="000B589D" w:rsidP="001C189E">
      <w:r>
        <w:t>E</w:t>
      </w:r>
      <w:r w:rsidR="00973B0E" w:rsidRPr="00973B0E">
        <w:t xml:space="preserve">n nyansættelse </w:t>
      </w:r>
      <w:r>
        <w:t>kan betinges a</w:t>
      </w:r>
      <w:r w:rsidR="00973B0E" w:rsidRPr="00973B0E">
        <w:t xml:space="preserve">f, at der gennemføres </w:t>
      </w:r>
      <w:r w:rsidR="00366286">
        <w:t>baggrundskontrol med et t</w:t>
      </w:r>
      <w:r w:rsidR="00973B0E" w:rsidRPr="00973B0E">
        <w:t xml:space="preserve">ilfredsstillende </w:t>
      </w:r>
      <w:r w:rsidR="00366286">
        <w:t>resultat</w:t>
      </w:r>
      <w:r w:rsidR="00092058">
        <w:t>. Kontrolfor</w:t>
      </w:r>
      <w:r w:rsidR="00E62217">
        <w:t xml:space="preserve">anstaltningen skal </w:t>
      </w:r>
      <w:r w:rsidR="00AD0D45">
        <w:t xml:space="preserve">dog </w:t>
      </w:r>
      <w:r w:rsidR="00E62217">
        <w:t xml:space="preserve">være </w:t>
      </w:r>
      <w:r w:rsidR="00973B0E" w:rsidRPr="00973B0E">
        <w:t>indført i virksomheden i overensstemmelse med de ansættelsesretlige rammer for kontrolforanstaltninger</w:t>
      </w:r>
      <w:r w:rsidR="00FA55CF">
        <w:t>.</w:t>
      </w:r>
    </w:p>
    <w:p w14:paraId="7B1CFEE1" w14:textId="77777777" w:rsidR="009070C8" w:rsidRDefault="009070C8" w:rsidP="001C189E"/>
    <w:p w14:paraId="68C7DAAF" w14:textId="7C4B9841" w:rsidR="00B179AC" w:rsidRDefault="001C189E" w:rsidP="001C189E">
      <w:r>
        <w:t xml:space="preserve">I energisektoren er det derfor lovligt at stille krav om, at en nyansat skal kunne opnå </w:t>
      </w:r>
      <w:proofErr w:type="spellStart"/>
      <w:r>
        <w:t>sikkerhedsgodkendelse</w:t>
      </w:r>
      <w:proofErr w:type="spellEnd"/>
      <w:r>
        <w:t>, hvis stillingen kræver det.</w:t>
      </w:r>
    </w:p>
    <w:p w14:paraId="60F34611" w14:textId="77777777" w:rsidR="003925F0" w:rsidRDefault="003925F0" w:rsidP="001C189E"/>
    <w:p w14:paraId="0CB35EB4" w14:textId="2738433E" w:rsidR="001C189E" w:rsidRDefault="00EA264C" w:rsidP="001C189E">
      <w:r>
        <w:t xml:space="preserve">Praksis fra </w:t>
      </w:r>
      <w:r w:rsidR="005C437F">
        <w:t xml:space="preserve">det adspurgte </w:t>
      </w:r>
      <w:r>
        <w:t xml:space="preserve">DANVA-medlem er, at krav om </w:t>
      </w:r>
      <w:proofErr w:type="spellStart"/>
      <w:r>
        <w:t>sikkerhedsgodkendelse</w:t>
      </w:r>
      <w:proofErr w:type="spellEnd"/>
      <w:r>
        <w:t xml:space="preserve"> for nyansættelser skrives i stillingsopslaget samt ansættelseskontrakten, </w:t>
      </w:r>
      <w:proofErr w:type="gramStart"/>
      <w:r>
        <w:t>såfremt</w:t>
      </w:r>
      <w:proofErr w:type="gramEnd"/>
      <w:r>
        <w:t xml:space="preserve"> stillingen kræver det.</w:t>
      </w:r>
    </w:p>
    <w:p w14:paraId="46B61B00" w14:textId="77777777" w:rsidR="001C1AB6" w:rsidRDefault="001C1AB6" w:rsidP="001C189E">
      <w:pPr>
        <w:rPr>
          <w:b/>
          <w:bCs/>
        </w:rPr>
      </w:pPr>
    </w:p>
    <w:p w14:paraId="6EB6485F" w14:textId="62034F48" w:rsidR="001C1AB6" w:rsidRPr="001C1AB6" w:rsidRDefault="00EA264C" w:rsidP="006F5149">
      <w:pPr>
        <w:pStyle w:val="Overskrift2"/>
      </w:pPr>
      <w:bookmarkStart w:id="9" w:name="_Toc229044317"/>
      <w:r w:rsidRPr="001C1AB6">
        <w:t>Håndtering af eksisterende personale, der ikke kan sikkerhedsgodkendes</w:t>
      </w:r>
      <w:bookmarkEnd w:id="9"/>
    </w:p>
    <w:p w14:paraId="2F5632D5" w14:textId="00ADC784" w:rsidR="001C189E" w:rsidRDefault="00EA264C" w:rsidP="001C189E">
      <w:pPr>
        <w:rPr>
          <w:u w:val="single"/>
        </w:rPr>
      </w:pPr>
      <w:r>
        <w:rPr>
          <w:u w:val="single"/>
        </w:rPr>
        <w:t>Hvad gør man med eksisterende personale?</w:t>
      </w:r>
    </w:p>
    <w:p w14:paraId="7409F3EF" w14:textId="216D71F6" w:rsidR="00241B4C" w:rsidRDefault="000F1A4A" w:rsidP="001C189E">
      <w:r>
        <w:t>Fra det tidspunkt</w:t>
      </w:r>
      <w:r w:rsidR="00F57312">
        <w:t>,</w:t>
      </w:r>
      <w:r>
        <w:t xml:space="preserve"> </w:t>
      </w:r>
      <w:r w:rsidR="00241B4C" w:rsidRPr="00241B4C">
        <w:t>hvor kontrolforanstaltning</w:t>
      </w:r>
      <w:r>
        <w:t>en</w:t>
      </w:r>
      <w:r w:rsidR="00241B4C" w:rsidRPr="00241B4C">
        <w:t xml:space="preserve"> er indført i virksomheden i overensstemmelse med de ansættelsesretlige rammer for kontrolforanstaltninger</w:t>
      </w:r>
      <w:r w:rsidR="00B91A68">
        <w:t xml:space="preserve">, vil der kunne gennemføres </w:t>
      </w:r>
      <w:r w:rsidR="00314E9F">
        <w:t>baggrundsk</w:t>
      </w:r>
      <w:r w:rsidR="00D337ED">
        <w:t>ontrol</w:t>
      </w:r>
      <w:r w:rsidR="00314E9F">
        <w:t xml:space="preserve"> </w:t>
      </w:r>
      <w:r w:rsidR="00A26055">
        <w:t>af eksisterende personale</w:t>
      </w:r>
      <w:r w:rsidR="00241B4C" w:rsidRPr="00241B4C">
        <w:t>.</w:t>
      </w:r>
    </w:p>
    <w:p w14:paraId="536ECD1F" w14:textId="77777777" w:rsidR="00241B4C" w:rsidRDefault="00241B4C" w:rsidP="001C189E"/>
    <w:p w14:paraId="661D5713" w14:textId="0F403F44" w:rsidR="00C2217B" w:rsidRDefault="00F60090" w:rsidP="001C189E">
      <w:r>
        <w:t xml:space="preserve">Praksis fra DANVA-medlemmet er, at man lige nu undersøger muligheden for at lave et tillæg </w:t>
      </w:r>
      <w:r w:rsidR="00EE5F55">
        <w:t>til</w:t>
      </w:r>
      <w:r>
        <w:t xml:space="preserve"> medarbejde</w:t>
      </w:r>
      <w:r w:rsidR="00B036CE">
        <w:t>rne</w:t>
      </w:r>
      <w:r>
        <w:t>s nuværende kontrakter, hvori der indgår krav om</w:t>
      </w:r>
      <w:r w:rsidR="00F57312">
        <w:t>,</w:t>
      </w:r>
      <w:r>
        <w:t xml:space="preserve"> at medarbejdere, der varetager specifikke kritiske arbejdsopgaver, skal sikkerhedsgodkendes.</w:t>
      </w:r>
    </w:p>
    <w:p w14:paraId="048A3852" w14:textId="77777777" w:rsidR="00C2217B" w:rsidRDefault="00C2217B" w:rsidP="001C189E"/>
    <w:p w14:paraId="718CD51F" w14:textId="6637C660" w:rsidR="00BA667C" w:rsidRDefault="00E01B84" w:rsidP="001C189E">
      <w:proofErr w:type="gramStart"/>
      <w:r>
        <w:t>Såfremt</w:t>
      </w:r>
      <w:proofErr w:type="gramEnd"/>
      <w:r>
        <w:t xml:space="preserve"> medarbejderen ikke kan sikkerhedsgodkendes, skal man som udgangspunkt forsøge at omplacere medarbejderen. Hvis dette ikke er muligt, kan man være nødsaget til at opsige medarbejderen.</w:t>
      </w:r>
    </w:p>
    <w:p w14:paraId="521DB19C" w14:textId="77777777" w:rsidR="008E29BA" w:rsidRDefault="008E29BA" w:rsidP="001C189E"/>
    <w:p w14:paraId="4DAB89B3" w14:textId="4923CA6E" w:rsidR="008E29BA" w:rsidRDefault="00EA264C" w:rsidP="001C189E">
      <w:pPr>
        <w:rPr>
          <w:u w:val="single"/>
        </w:rPr>
      </w:pPr>
      <w:r>
        <w:rPr>
          <w:u w:val="single"/>
        </w:rPr>
        <w:t>Kan virksomheden afskedige medarbejdere uden videre?</w:t>
      </w:r>
    </w:p>
    <w:p w14:paraId="60E58CB6" w14:textId="6F6CF681" w:rsidR="00DF64C6" w:rsidRDefault="00DF64C6" w:rsidP="001C189E">
      <w:r w:rsidRPr="00DF64C6">
        <w:t>Hvis en medarbejder, som varetager specifikke kritiske arbejdsopgaver, hvor baggrundsk</w:t>
      </w:r>
      <w:r w:rsidR="008C5CCC">
        <w:t>ontrol</w:t>
      </w:r>
      <w:r w:rsidRPr="00DF64C6">
        <w:t xml:space="preserve"> er velbegrundet, ikke kan eller vil medvirke til baggrundsk</w:t>
      </w:r>
      <w:r w:rsidR="009B3FDE">
        <w:t>ontrollen</w:t>
      </w:r>
      <w:r w:rsidR="00F57312">
        <w:t>,</w:t>
      </w:r>
      <w:r w:rsidRPr="00DF64C6">
        <w:t xml:space="preserve"> kan virksomheden omplacere medarbejderen til ikke kritiske opgaver</w:t>
      </w:r>
      <w:r w:rsidR="009B3FDE">
        <w:t xml:space="preserve"> </w:t>
      </w:r>
      <w:r w:rsidR="009B3FDE" w:rsidRPr="00DF64C6">
        <w:t>(ledige)</w:t>
      </w:r>
      <w:r w:rsidRPr="00DF64C6">
        <w:t>, hvis sådanne findes. Hvis det ikke er muligt, vil det være sagligt at bringe ansættelsesforholdet til ophør af driftsmæssige årsager, idet vedkommende ikke kan beskæftiges uden opfyldelse af baggrundsk</w:t>
      </w:r>
      <w:r w:rsidR="00BF44F3">
        <w:t>ontrol</w:t>
      </w:r>
      <w:r w:rsidRPr="00DF64C6">
        <w:t>.</w:t>
      </w:r>
    </w:p>
    <w:p w14:paraId="0913D4E6" w14:textId="77777777" w:rsidR="00593C1C" w:rsidRDefault="00593C1C" w:rsidP="001C189E"/>
    <w:p w14:paraId="6A8E6440" w14:textId="56FFBE6E" w:rsidR="00593C1C" w:rsidRDefault="00EA2EB4" w:rsidP="006F5149">
      <w:pPr>
        <w:pStyle w:val="Overskrift2"/>
      </w:pPr>
      <w:bookmarkStart w:id="10" w:name="_Toc229044318"/>
      <w:r w:rsidRPr="00EA2EB4">
        <w:t xml:space="preserve">Virksomhedernes ansvar for </w:t>
      </w:r>
      <w:proofErr w:type="spellStart"/>
      <w:r w:rsidRPr="00EA2EB4">
        <w:t>sikkerhedsgodkendelse</w:t>
      </w:r>
      <w:proofErr w:type="spellEnd"/>
      <w:r w:rsidRPr="00EA2EB4">
        <w:t xml:space="preserve"> af relevant personale</w:t>
      </w:r>
      <w:bookmarkEnd w:id="10"/>
    </w:p>
    <w:p w14:paraId="7657E205" w14:textId="21FB6F53" w:rsidR="00463BE1" w:rsidRDefault="00EA264C" w:rsidP="001C189E">
      <w:r>
        <w:t xml:space="preserve">Ifølge §4 i Bekendtgørelse om </w:t>
      </w:r>
      <w:proofErr w:type="spellStart"/>
      <w:r>
        <w:t>sikkerhedsgodkendelse</w:t>
      </w:r>
      <w:proofErr w:type="spellEnd"/>
      <w:r>
        <w:t xml:space="preserve"> i energisektoren er virksomheden ansvarlig for, at der gennemføres ID- og CV-kontrol med et tilfredsstillende resultat for de personer, der skal sikkerhedsgodkendes. </w:t>
      </w:r>
    </w:p>
    <w:p w14:paraId="60454EA5" w14:textId="77777777" w:rsidR="00A036C2" w:rsidRDefault="00A036C2" w:rsidP="001C189E"/>
    <w:p w14:paraId="77DA757A" w14:textId="00DDBC8B" w:rsidR="00867E2B" w:rsidRDefault="00EA264C" w:rsidP="001C189E">
      <w:r>
        <w:t>Af DANVA-medlemmet er det dertil beskrevet, at de selv indsamler samtlige nødvendige oplysninger om ansatte medarbejdere for efterfølgende at indsende dem til PET.</w:t>
      </w:r>
    </w:p>
    <w:p w14:paraId="126B5337" w14:textId="77777777" w:rsidR="0037728F" w:rsidRDefault="0037728F" w:rsidP="001C189E"/>
    <w:p w14:paraId="53819560" w14:textId="77777777" w:rsidR="00A036C2" w:rsidRDefault="00AD06AD" w:rsidP="001C189E">
      <w:r>
        <w:t>Bekendtgørelsen pålægger desuden virksomheden et ansvar for at sikre, at kun sikkerhedsgodkendt personale har adgang til klassificerede informationer og opgaver (§ 4, stk. 2). Hvis dette ikke overholdes, kan selskaberne være ansvarlig for at iværksætte passende foranstaltninger.</w:t>
      </w:r>
    </w:p>
    <w:p w14:paraId="235A419B" w14:textId="5D177602" w:rsidR="00A036C2" w:rsidRDefault="00A036C2" w:rsidP="001C189E"/>
    <w:p w14:paraId="38DC0119" w14:textId="539D3721" w:rsidR="00867E2B" w:rsidRDefault="00EA264C" w:rsidP="001C189E">
      <w:r>
        <w:t>Passende foranstaltninger kan f.eks. være:</w:t>
      </w:r>
    </w:p>
    <w:p w14:paraId="3B418BDF" w14:textId="77777777" w:rsidR="00A036C2" w:rsidRDefault="00A036C2" w:rsidP="001C189E"/>
    <w:p w14:paraId="76152F66" w14:textId="77777777" w:rsidR="0033485F" w:rsidRPr="0033485F" w:rsidRDefault="00EA264C" w:rsidP="0033485F">
      <w:pPr>
        <w:numPr>
          <w:ilvl w:val="0"/>
          <w:numId w:val="6"/>
        </w:numPr>
      </w:pPr>
      <w:r w:rsidRPr="0033485F">
        <w:t>Advarsler: En mundtlig eller skriftlig advarsel kan gives, hvis overtrædelsen skyldes uagtsomhed.</w:t>
      </w:r>
    </w:p>
    <w:p w14:paraId="25C85FEE" w14:textId="77777777" w:rsidR="0033485F" w:rsidRPr="0033485F" w:rsidRDefault="00EA264C" w:rsidP="0033485F">
      <w:pPr>
        <w:numPr>
          <w:ilvl w:val="0"/>
          <w:numId w:val="6"/>
        </w:numPr>
      </w:pPr>
      <w:r w:rsidRPr="0033485F">
        <w:t>Afskedigelse: Gentagne eller alvorlige overtrædelser kan føre til afskedigelse, hvis det vurderes, at medarbejderen ikke længere kan varetage sine opgaver forsvarligt.</w:t>
      </w:r>
    </w:p>
    <w:p w14:paraId="1314FB51" w14:textId="77777777" w:rsidR="0033485F" w:rsidRPr="0033485F" w:rsidRDefault="00EA264C" w:rsidP="0033485F">
      <w:pPr>
        <w:numPr>
          <w:ilvl w:val="0"/>
          <w:numId w:val="6"/>
        </w:numPr>
      </w:pPr>
      <w:r w:rsidRPr="0033485F">
        <w:lastRenderedPageBreak/>
        <w:t>Politianmeldelse: Hvis der er tale om en bevidst og alvorlig overtrædelse, der kan udgøre en sikkerhedsrisiko, kan politianmeldelse være påkrævet.</w:t>
      </w:r>
    </w:p>
    <w:p w14:paraId="603D2AFB" w14:textId="77777777" w:rsidR="00A036C2" w:rsidRDefault="00A036C2" w:rsidP="0033485F"/>
    <w:p w14:paraId="26F9FB57" w14:textId="6521E438" w:rsidR="0033485F" w:rsidRDefault="00EA264C" w:rsidP="0033485F">
      <w:r w:rsidRPr="0033485F">
        <w:t>Det er vigtigt, at selskaberne dokumenterer hændelsen og foretager en konkret vurdering af, hvilke sanktioner der er proportionale og nødvendige.</w:t>
      </w:r>
    </w:p>
    <w:p w14:paraId="4353C1CF" w14:textId="77777777" w:rsidR="00A036C2" w:rsidRDefault="00A036C2" w:rsidP="0033485F"/>
    <w:p w14:paraId="716974B1" w14:textId="2BAC8B03" w:rsidR="0033485F" w:rsidRPr="0033485F" w:rsidRDefault="00EA264C" w:rsidP="0033485F">
      <w:r>
        <w:t>Det skal pointeres, at de overstående foranstaltninger blot er eksempler og derved ikke er nedfæstet i bekendtgørelsen</w:t>
      </w:r>
      <w:r w:rsidR="008959D9">
        <w:t>.</w:t>
      </w:r>
    </w:p>
    <w:p w14:paraId="529A35ED" w14:textId="77777777" w:rsidR="00867E2B" w:rsidRDefault="00867E2B" w:rsidP="001C189E"/>
    <w:p w14:paraId="149DA139" w14:textId="77777777" w:rsidR="00867E2B" w:rsidRDefault="00EA264C" w:rsidP="006F5149">
      <w:pPr>
        <w:pStyle w:val="Overskrift2"/>
      </w:pPr>
      <w:bookmarkStart w:id="11" w:name="_Toc229044319"/>
      <w:r>
        <w:t>Kan der være forskellige aftaler hos forskellige fagforeninger?</w:t>
      </w:r>
      <w:bookmarkEnd w:id="11"/>
    </w:p>
    <w:p w14:paraId="5AB7C36D" w14:textId="33707638" w:rsidR="00867E2B" w:rsidRDefault="00EA264C" w:rsidP="00867E2B">
      <w:r w:rsidRPr="00867E2B">
        <w:t>Der kan være forskelle i håndteringen af disse problemstillinger afhængigt af de overenskomster, som selskaberne er omfattet af. Overenskomster kan indeholde særlige bestemmelser om:</w:t>
      </w:r>
    </w:p>
    <w:p w14:paraId="3F5D1786" w14:textId="77777777" w:rsidR="00A036C2" w:rsidRPr="00867E2B" w:rsidRDefault="00A036C2" w:rsidP="00867E2B"/>
    <w:p w14:paraId="56D12395" w14:textId="77777777" w:rsidR="00867E2B" w:rsidRPr="00867E2B" w:rsidRDefault="00EA264C" w:rsidP="00867E2B">
      <w:pPr>
        <w:numPr>
          <w:ilvl w:val="0"/>
          <w:numId w:val="5"/>
        </w:numPr>
      </w:pPr>
      <w:r w:rsidRPr="00867E2B">
        <w:t>Omskoling og omplacering: Nogle overenskomster kan pålægge virksomheden en pligt til at forsøge at omplacere medarbejdere, der ikke længere kan varetage deres stilling.</w:t>
      </w:r>
    </w:p>
    <w:p w14:paraId="304EF60E" w14:textId="77777777" w:rsidR="00867E2B" w:rsidRPr="00867E2B" w:rsidRDefault="00EA264C" w:rsidP="00867E2B">
      <w:pPr>
        <w:numPr>
          <w:ilvl w:val="0"/>
          <w:numId w:val="5"/>
        </w:numPr>
      </w:pPr>
      <w:r w:rsidRPr="00867E2B">
        <w:t>Opsigelsesprocedurer: Overenskomster kan fastsætte særlige krav til procedurer ved opsigelse, herunder krav om forhandling med fagforeningen.</w:t>
      </w:r>
    </w:p>
    <w:p w14:paraId="60423247" w14:textId="77777777" w:rsidR="00867E2B" w:rsidRPr="00867E2B" w:rsidRDefault="00EA264C" w:rsidP="00867E2B">
      <w:pPr>
        <w:numPr>
          <w:ilvl w:val="0"/>
          <w:numId w:val="5"/>
        </w:numPr>
      </w:pPr>
      <w:r w:rsidRPr="00867E2B">
        <w:t>Sanktioner: Der kan være aftaler om, hvordan overtrædelser af sikkerhedskrav skal håndteres, f.eks. krav om advarsler før afskedigelse.</w:t>
      </w:r>
    </w:p>
    <w:p w14:paraId="48202E89" w14:textId="77777777" w:rsidR="00A036C2" w:rsidRDefault="00A036C2" w:rsidP="00867E2B"/>
    <w:p w14:paraId="668FBAA9" w14:textId="6EAB992C" w:rsidR="00867E2B" w:rsidRPr="00867E2B" w:rsidRDefault="00EA264C" w:rsidP="00867E2B">
      <w:r w:rsidRPr="00867E2B">
        <w:t>Selskaberne bør gennemgå de relevante overenskomster og sikre, at deres praksis er i overensstemmelse med disse.</w:t>
      </w:r>
    </w:p>
    <w:p w14:paraId="5A2C9728" w14:textId="77777777" w:rsidR="00590490" w:rsidRDefault="00590490" w:rsidP="001C189E"/>
    <w:p w14:paraId="1F756A31" w14:textId="02AB4F44" w:rsidR="00590490" w:rsidRDefault="00EA264C" w:rsidP="006F5149">
      <w:pPr>
        <w:pStyle w:val="Overskrift2"/>
      </w:pPr>
      <w:bookmarkStart w:id="12" w:name="_Toc229044320"/>
      <w:r>
        <w:t>Andre erfaringer</w:t>
      </w:r>
      <w:bookmarkEnd w:id="12"/>
    </w:p>
    <w:p w14:paraId="12E1ECB0" w14:textId="02DAE9F5" w:rsidR="00C80F3A" w:rsidRDefault="00EA264C" w:rsidP="001C189E">
      <w:r>
        <w:t>DANVA-medlemmet har arbejdet med organiseringen af deres medarbejdere med henblik på at mindske antallet af medarbejdere</w:t>
      </w:r>
      <w:r w:rsidR="008959D9">
        <w:t>,</w:t>
      </w:r>
      <w:r>
        <w:t xml:space="preserve"> der skal sikkerhedsgodkendes. Et eksempel kan være, at meget få har adgang til kontrolrum eller andre elementer, der kræver </w:t>
      </w:r>
      <w:proofErr w:type="spellStart"/>
      <w:r>
        <w:t>sikkerhedsgodkendelse</w:t>
      </w:r>
      <w:proofErr w:type="spellEnd"/>
      <w:r>
        <w:t>. Antallet af nuværende medarbejdere, der skal sikkerhedsgodkendes</w:t>
      </w:r>
      <w:r w:rsidR="008959D9">
        <w:t>,</w:t>
      </w:r>
      <w:r>
        <w:t xml:space="preserve"> formindskes derved, ligesom der i mindre grad er behov for at stille krav om </w:t>
      </w:r>
      <w:proofErr w:type="spellStart"/>
      <w:r>
        <w:t>sikkerhedsgodkendelse</w:t>
      </w:r>
      <w:proofErr w:type="spellEnd"/>
      <w:r>
        <w:t xml:space="preserve"> for nyansatte. </w:t>
      </w:r>
    </w:p>
    <w:p w14:paraId="7B1A6082" w14:textId="77777777" w:rsidR="00C80F3A" w:rsidRDefault="00C80F3A" w:rsidP="001C189E"/>
    <w:p w14:paraId="4483C500" w14:textId="5241A20B" w:rsidR="00C80F3A" w:rsidRDefault="00AD06AD" w:rsidP="001C189E">
      <w:r>
        <w:t xml:space="preserve">Ved eventuel afskedigelse af medarbejdere pga. manglende </w:t>
      </w:r>
      <w:proofErr w:type="spellStart"/>
      <w:r>
        <w:t>sikkerhedsgodkendelse</w:t>
      </w:r>
      <w:proofErr w:type="spellEnd"/>
      <w:r>
        <w:t>, er der tvivl om, hvorvidt medarbejderen har krav på godtgørelse. Afskedigelse af medarbejdere med lang anciennitet kan derfor være omkostningsfuld.</w:t>
      </w:r>
    </w:p>
    <w:p w14:paraId="020F3CFE" w14:textId="77777777" w:rsidR="00AD06AD" w:rsidRDefault="00AD06AD" w:rsidP="001C189E"/>
    <w:p w14:paraId="24B222BD" w14:textId="5BCF83DF" w:rsidR="00AD06AD" w:rsidRDefault="00EA264C" w:rsidP="001C189E">
      <w:r>
        <w:t>En væsentlig pointe er, at superbrugere af diverse it-programmer også skal sikkerhedsgodkendes.</w:t>
      </w:r>
    </w:p>
    <w:p w14:paraId="7F87A40F" w14:textId="77777777" w:rsidR="0011139E" w:rsidRDefault="0011139E" w:rsidP="001C189E"/>
    <w:sectPr w:rsidR="0011139E" w:rsidSect="00132893">
      <w:headerReference w:type="even" r:id="rId12"/>
      <w:headerReference w:type="default" r:id="rId13"/>
      <w:footerReference w:type="even" r:id="rId14"/>
      <w:footerReference w:type="default" r:id="rId15"/>
      <w:headerReference w:type="first" r:id="rId16"/>
      <w:footerReference w:type="first" r:id="rId17"/>
      <w:pgSz w:w="11906" w:h="16838" w:code="9"/>
      <w:pgMar w:top="1814" w:right="2268" w:bottom="1644" w:left="851" w:header="567" w:footer="340" w:gutter="0"/>
      <w:paperSrc w:first="267" w:other="2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49531" w14:textId="77777777" w:rsidR="008A107B" w:rsidRDefault="008A107B">
      <w:pPr>
        <w:spacing w:line="240" w:lineRule="auto"/>
      </w:pPr>
      <w:r>
        <w:separator/>
      </w:r>
    </w:p>
  </w:endnote>
  <w:endnote w:type="continuationSeparator" w:id="0">
    <w:p w14:paraId="3D35E7A3" w14:textId="77777777" w:rsidR="008A107B" w:rsidRDefault="008A10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0DECB" w14:textId="77777777" w:rsidR="0038253D" w:rsidRDefault="0038253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W w:w="102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31"/>
      <w:gridCol w:w="1274"/>
    </w:tblGrid>
    <w:tr w:rsidR="00FA703C" w14:paraId="05026EF0" w14:textId="77777777" w:rsidTr="00280EDB">
      <w:trPr>
        <w:trHeight w:hRule="exact" w:val="567"/>
      </w:trPr>
      <w:tc>
        <w:tcPr>
          <w:tcW w:w="8931" w:type="dxa"/>
          <w:vAlign w:val="bottom"/>
        </w:tcPr>
        <w:p w14:paraId="6F71E536" w14:textId="77777777" w:rsidR="00C00FF7" w:rsidRPr="00B46D48" w:rsidRDefault="00C00FF7" w:rsidP="00C00FF7">
          <w:pPr>
            <w:pStyle w:val="Sidefod"/>
          </w:pPr>
        </w:p>
      </w:tc>
      <w:tc>
        <w:tcPr>
          <w:tcW w:w="1274" w:type="dxa"/>
          <w:vAlign w:val="bottom"/>
        </w:tcPr>
        <w:p w14:paraId="7F734A9D" w14:textId="77777777" w:rsidR="00C00FF7" w:rsidRPr="00081770" w:rsidRDefault="00EA264C" w:rsidP="00C00FF7">
          <w:pPr>
            <w:pStyle w:val="Sidefod"/>
            <w:jc w:val="right"/>
            <w:rPr>
              <w:sz w:val="16"/>
              <w:szCs w:val="16"/>
            </w:rPr>
          </w:pPr>
          <w:r w:rsidRPr="00081770">
            <w:rPr>
              <w:sz w:val="16"/>
              <w:szCs w:val="16"/>
            </w:rPr>
            <w:t xml:space="preserve">Side </w:t>
          </w:r>
          <w:r w:rsidRPr="00081770">
            <w:rPr>
              <w:sz w:val="16"/>
              <w:szCs w:val="16"/>
            </w:rPr>
            <w:fldChar w:fldCharType="begin"/>
          </w:r>
          <w:r w:rsidRPr="00081770">
            <w:rPr>
              <w:sz w:val="16"/>
              <w:szCs w:val="16"/>
            </w:rPr>
            <w:instrText xml:space="preserve"> page </w:instrText>
          </w:r>
          <w:r w:rsidRPr="00081770">
            <w:rPr>
              <w:sz w:val="16"/>
              <w:szCs w:val="16"/>
            </w:rPr>
            <w:fldChar w:fldCharType="separate"/>
          </w:r>
          <w:r w:rsidR="00EF40A3">
            <w:rPr>
              <w:sz w:val="16"/>
              <w:szCs w:val="16"/>
            </w:rPr>
            <w:t>2</w:t>
          </w:r>
          <w:r w:rsidRPr="00081770">
            <w:rPr>
              <w:sz w:val="16"/>
              <w:szCs w:val="16"/>
            </w:rPr>
            <w:fldChar w:fldCharType="end"/>
          </w:r>
          <w:r w:rsidRPr="00081770">
            <w:rPr>
              <w:sz w:val="16"/>
              <w:szCs w:val="16"/>
            </w:rPr>
            <w:t xml:space="preserve"> af </w:t>
          </w:r>
          <w:r w:rsidRPr="00081770">
            <w:rPr>
              <w:sz w:val="16"/>
              <w:szCs w:val="16"/>
            </w:rPr>
            <w:fldChar w:fldCharType="begin"/>
          </w:r>
          <w:r w:rsidRPr="00081770">
            <w:rPr>
              <w:sz w:val="16"/>
              <w:szCs w:val="16"/>
            </w:rPr>
            <w:instrText xml:space="preserve"> numpages </w:instrText>
          </w:r>
          <w:r w:rsidRPr="00081770">
            <w:rPr>
              <w:sz w:val="16"/>
              <w:szCs w:val="16"/>
            </w:rPr>
            <w:fldChar w:fldCharType="separate"/>
          </w:r>
          <w:r w:rsidR="00EF40A3">
            <w:rPr>
              <w:sz w:val="16"/>
              <w:szCs w:val="16"/>
            </w:rPr>
            <w:t>2</w:t>
          </w:r>
          <w:r w:rsidRPr="00081770">
            <w:rPr>
              <w:sz w:val="16"/>
              <w:szCs w:val="16"/>
            </w:rPr>
            <w:fldChar w:fldCharType="end"/>
          </w:r>
        </w:p>
      </w:tc>
    </w:tr>
  </w:tbl>
  <w:p w14:paraId="49669114" w14:textId="77777777" w:rsidR="00E0062F" w:rsidRPr="00C00FF7" w:rsidRDefault="00E0062F" w:rsidP="00C00FF7">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W w:w="102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31"/>
      <w:gridCol w:w="1274"/>
    </w:tblGrid>
    <w:tr w:rsidR="00FA703C" w14:paraId="2C2508ED" w14:textId="77777777" w:rsidTr="00F508C1">
      <w:trPr>
        <w:trHeight w:hRule="exact" w:val="567"/>
      </w:trPr>
      <w:tc>
        <w:tcPr>
          <w:tcW w:w="8931" w:type="dxa"/>
          <w:vAlign w:val="bottom"/>
        </w:tcPr>
        <w:p w14:paraId="4F55C29B" w14:textId="77777777" w:rsidR="00F76F59" w:rsidRPr="0038253D" w:rsidRDefault="00EA264C" w:rsidP="00B46D48">
          <w:pPr>
            <w:pStyle w:val="Sidefod"/>
          </w:pPr>
          <w:r>
            <w:rPr>
              <w:rStyle w:val="Labels"/>
            </w:rPr>
            <w:t>VANDHUSET</w:t>
          </w:r>
          <w:r>
            <w:t xml:space="preserve"> </w:t>
          </w:r>
          <w:r>
            <w:rPr>
              <w:position w:val="1"/>
              <w:sz w:val="16"/>
              <w:szCs w:val="16"/>
            </w:rPr>
            <w:t>|</w:t>
          </w:r>
          <w:r>
            <w:t xml:space="preserve"> Godthåbsvej 83, 8660 Skanderborg </w:t>
          </w:r>
          <w:r>
            <w:rPr>
              <w:position w:val="1"/>
              <w:sz w:val="16"/>
              <w:szCs w:val="16"/>
            </w:rPr>
            <w:t>|</w:t>
          </w:r>
          <w:r>
            <w:t xml:space="preserve"> </w:t>
          </w:r>
          <w:r>
            <w:rPr>
              <w:b/>
            </w:rPr>
            <w:t>KØBENHAVN</w:t>
          </w:r>
          <w:r>
            <w:t xml:space="preserve"> | Vester Farimagsgade 1, 5. sal., 1606 København V | Tlf. 7021 0055 </w:t>
          </w:r>
          <w:r>
            <w:rPr>
              <w:position w:val="1"/>
              <w:sz w:val="16"/>
              <w:szCs w:val="16"/>
            </w:rPr>
            <w:t>|</w:t>
          </w:r>
          <w:r>
            <w:t xml:space="preserve"> danva@danva.dk </w:t>
          </w:r>
          <w:r>
            <w:rPr>
              <w:position w:val="1"/>
              <w:sz w:val="16"/>
              <w:szCs w:val="16"/>
            </w:rPr>
            <w:t>|</w:t>
          </w:r>
          <w:r>
            <w:t xml:space="preserve"> www.danva.dk</w:t>
          </w:r>
        </w:p>
      </w:tc>
      <w:tc>
        <w:tcPr>
          <w:tcW w:w="1274" w:type="dxa"/>
          <w:vAlign w:val="bottom"/>
        </w:tcPr>
        <w:p w14:paraId="281797BD" w14:textId="77777777" w:rsidR="00F76F59" w:rsidRPr="00081770" w:rsidRDefault="00EA264C" w:rsidP="00F76F59">
          <w:pPr>
            <w:pStyle w:val="Sidefod"/>
            <w:jc w:val="right"/>
            <w:rPr>
              <w:sz w:val="16"/>
              <w:szCs w:val="16"/>
            </w:rPr>
          </w:pPr>
          <w:r w:rsidRPr="00081770">
            <w:rPr>
              <w:sz w:val="16"/>
              <w:szCs w:val="16"/>
            </w:rPr>
            <w:t xml:space="preserve">Side </w:t>
          </w:r>
          <w:r w:rsidRPr="00081770">
            <w:rPr>
              <w:sz w:val="16"/>
              <w:szCs w:val="16"/>
            </w:rPr>
            <w:fldChar w:fldCharType="begin"/>
          </w:r>
          <w:r w:rsidRPr="00081770">
            <w:rPr>
              <w:sz w:val="16"/>
              <w:szCs w:val="16"/>
            </w:rPr>
            <w:instrText xml:space="preserve"> page </w:instrText>
          </w:r>
          <w:r w:rsidRPr="00081770">
            <w:rPr>
              <w:sz w:val="16"/>
              <w:szCs w:val="16"/>
            </w:rPr>
            <w:fldChar w:fldCharType="separate"/>
          </w:r>
          <w:r w:rsidR="000E6318">
            <w:rPr>
              <w:sz w:val="16"/>
              <w:szCs w:val="16"/>
            </w:rPr>
            <w:t>1</w:t>
          </w:r>
          <w:r w:rsidRPr="00081770">
            <w:rPr>
              <w:sz w:val="16"/>
              <w:szCs w:val="16"/>
            </w:rPr>
            <w:fldChar w:fldCharType="end"/>
          </w:r>
          <w:r w:rsidRPr="00081770">
            <w:rPr>
              <w:sz w:val="16"/>
              <w:szCs w:val="16"/>
            </w:rPr>
            <w:t xml:space="preserve"> af </w:t>
          </w:r>
          <w:r w:rsidRPr="00081770">
            <w:rPr>
              <w:sz w:val="16"/>
              <w:szCs w:val="16"/>
            </w:rPr>
            <w:fldChar w:fldCharType="begin"/>
          </w:r>
          <w:r w:rsidRPr="00081770">
            <w:rPr>
              <w:sz w:val="16"/>
              <w:szCs w:val="16"/>
            </w:rPr>
            <w:instrText xml:space="preserve"> numpages </w:instrText>
          </w:r>
          <w:r w:rsidRPr="00081770">
            <w:rPr>
              <w:sz w:val="16"/>
              <w:szCs w:val="16"/>
            </w:rPr>
            <w:fldChar w:fldCharType="separate"/>
          </w:r>
          <w:r w:rsidR="000E6318">
            <w:rPr>
              <w:sz w:val="16"/>
              <w:szCs w:val="16"/>
            </w:rPr>
            <w:t>1</w:t>
          </w:r>
          <w:r w:rsidRPr="00081770">
            <w:rPr>
              <w:sz w:val="16"/>
              <w:szCs w:val="16"/>
            </w:rPr>
            <w:fldChar w:fldCharType="end"/>
          </w:r>
        </w:p>
      </w:tc>
    </w:tr>
  </w:tbl>
  <w:p w14:paraId="23D428B7" w14:textId="77777777" w:rsidR="00E0062F" w:rsidRPr="00F76F59" w:rsidRDefault="00E0062F" w:rsidP="00F76F5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63BD0" w14:textId="77777777" w:rsidR="008A107B" w:rsidRDefault="008A107B">
      <w:pPr>
        <w:spacing w:line="240" w:lineRule="auto"/>
      </w:pPr>
      <w:r>
        <w:separator/>
      </w:r>
    </w:p>
  </w:footnote>
  <w:footnote w:type="continuationSeparator" w:id="0">
    <w:p w14:paraId="67125380" w14:textId="77777777" w:rsidR="008A107B" w:rsidRDefault="008A107B">
      <w:pPr>
        <w:spacing w:line="240" w:lineRule="auto"/>
      </w:pPr>
      <w:r>
        <w:continuationSeparator/>
      </w:r>
    </w:p>
  </w:footnote>
  <w:footnote w:id="1">
    <w:p w14:paraId="2592A2F6" w14:textId="3941217F" w:rsidR="00D04B4F" w:rsidRDefault="00D04B4F">
      <w:pPr>
        <w:pStyle w:val="Fodnotetekst"/>
      </w:pPr>
      <w:r>
        <w:rPr>
          <w:rStyle w:val="Fodnotehenvisning"/>
        </w:rPr>
        <w:footnoteRef/>
      </w:r>
      <w:r>
        <w:t xml:space="preserve"> </w:t>
      </w:r>
      <w:r w:rsidR="00231D54" w:rsidRPr="00811123">
        <w:rPr>
          <w:sz w:val="16"/>
          <w:szCs w:val="16"/>
        </w:rPr>
        <w:t xml:space="preserve">Afsnittet </w:t>
      </w:r>
      <w:r w:rsidR="002222DD" w:rsidRPr="00811123">
        <w:rPr>
          <w:sz w:val="16"/>
          <w:szCs w:val="16"/>
        </w:rPr>
        <w:t>forholder sig n</w:t>
      </w:r>
      <w:r w:rsidR="00953F2C" w:rsidRPr="00811123">
        <w:rPr>
          <w:sz w:val="16"/>
          <w:szCs w:val="16"/>
        </w:rPr>
        <w:t>ø</w:t>
      </w:r>
      <w:r w:rsidR="00BC2E34" w:rsidRPr="00811123">
        <w:rPr>
          <w:sz w:val="16"/>
          <w:szCs w:val="16"/>
        </w:rPr>
        <w:t>g</w:t>
      </w:r>
      <w:r w:rsidR="00953F2C" w:rsidRPr="00811123">
        <w:rPr>
          <w:sz w:val="16"/>
          <w:szCs w:val="16"/>
        </w:rPr>
        <w:t>t</w:t>
      </w:r>
      <w:r w:rsidR="00BC2E34" w:rsidRPr="00811123">
        <w:rPr>
          <w:sz w:val="16"/>
          <w:szCs w:val="16"/>
        </w:rPr>
        <w:t>e</w:t>
      </w:r>
      <w:r w:rsidR="00953F2C" w:rsidRPr="00811123">
        <w:rPr>
          <w:sz w:val="16"/>
          <w:szCs w:val="16"/>
        </w:rPr>
        <w:t>rnt</w:t>
      </w:r>
      <w:r w:rsidR="00BC2E34" w:rsidRPr="00811123">
        <w:rPr>
          <w:sz w:val="16"/>
          <w:szCs w:val="16"/>
        </w:rPr>
        <w:t xml:space="preserve"> til regelsættet gældende for energisektoren</w:t>
      </w:r>
      <w:r w:rsidR="000F565C">
        <w:rPr>
          <w:sz w:val="16"/>
          <w:szCs w:val="16"/>
        </w:rPr>
        <w:t>, og er med</w:t>
      </w:r>
      <w:r w:rsidR="00E400C6">
        <w:rPr>
          <w:sz w:val="16"/>
          <w:szCs w:val="16"/>
        </w:rPr>
        <w:t>taget i notatet med henblik på at give multiforsyninger et samlet overblik.</w:t>
      </w:r>
      <w:r w:rsidR="00E37B65">
        <w:t xml:space="preserve"> </w:t>
      </w:r>
      <w:r w:rsidR="00E410AC">
        <w:t xml:space="preserve"> </w:t>
      </w:r>
      <w:r w:rsidR="005C26D6">
        <w:t xml:space="preserve"> </w:t>
      </w:r>
      <w:r w:rsidR="00953F2C">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C2BBA" w14:textId="77777777" w:rsidR="0038253D" w:rsidRDefault="0038253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F6DE8" w14:textId="77777777" w:rsidR="00E0062F" w:rsidRPr="00C00FF7" w:rsidRDefault="00EA264C" w:rsidP="00EF40A3">
    <w:pPr>
      <w:pStyle w:val="Sidehoved"/>
      <w:spacing w:after="1200"/>
    </w:pPr>
    <w:r>
      <w:rPr>
        <w:noProof/>
      </w:rPr>
      <w:drawing>
        <wp:anchor distT="0" distB="0" distL="114300" distR="114300" simplePos="0" relativeHeight="251658242" behindDoc="1" locked="0" layoutInCell="1" allowOverlap="1" wp14:anchorId="61BC93AF" wp14:editId="1A7A8A3A">
          <wp:simplePos x="0" y="0"/>
          <wp:positionH relativeFrom="page">
            <wp:posOffset>6426835</wp:posOffset>
          </wp:positionH>
          <wp:positionV relativeFrom="page">
            <wp:posOffset>5112385</wp:posOffset>
          </wp:positionV>
          <wp:extent cx="5036400" cy="5036400"/>
          <wp:effectExtent l="0" t="0" r="0" b="0"/>
          <wp:wrapNone/>
          <wp:docPr id="6" name="Billede 6" descr="C:\Users\Word Specialisten\AppData\Local\Microsoft\Windows\INetCache\Content.Word\DANVA_BOMÃ†RKE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descr="C:\Users\Word Specialisten\AppData\Local\Microsoft\Windows\INetCache\Content.Word\DANVA_BOMÃ†RKE_2017.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036400" cy="5036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6A158AE4" wp14:editId="577E3307">
          <wp:simplePos x="0" y="0"/>
          <wp:positionH relativeFrom="page">
            <wp:posOffset>5202555</wp:posOffset>
          </wp:positionH>
          <wp:positionV relativeFrom="page">
            <wp:posOffset>360045</wp:posOffset>
          </wp:positionV>
          <wp:extent cx="1800000" cy="468000"/>
          <wp:effectExtent l="0" t="0" r="0" b="8255"/>
          <wp:wrapSquare wrapText="bothSides"/>
          <wp:docPr id="7" name="LogoPage2" descr="C:\Users\Word Specialisten\AppData\Local\Microsoft\Windows\INetCache\Content.Word\DANVA_LOGO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C:\Users\Word Specialisten\AppData\Local\Microsoft\Windows\INetCache\Content.Word\DANVA_LOGO_2017.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00000" cy="46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62B17" w14:textId="77777777" w:rsidR="00E0062F" w:rsidRPr="00F47C19" w:rsidRDefault="00EA264C" w:rsidP="00F47C19">
    <w:pPr>
      <w:pStyle w:val="Sidehoved"/>
    </w:pPr>
    <w:r>
      <w:rPr>
        <w:noProof/>
      </w:rPr>
      <w:drawing>
        <wp:anchor distT="0" distB="0" distL="114300" distR="114300" simplePos="0" relativeHeight="251658240" behindDoc="1" locked="0" layoutInCell="1" allowOverlap="1" wp14:anchorId="1F788A75" wp14:editId="6E646818">
          <wp:simplePos x="0" y="0"/>
          <wp:positionH relativeFrom="page">
            <wp:posOffset>6426835</wp:posOffset>
          </wp:positionH>
          <wp:positionV relativeFrom="page">
            <wp:posOffset>5112385</wp:posOffset>
          </wp:positionV>
          <wp:extent cx="5036400" cy="5036400"/>
          <wp:effectExtent l="0" t="0" r="0" b="0"/>
          <wp:wrapNone/>
          <wp:docPr id="8" name="Billede 8" descr="C:\Users\Word Specialisten\AppData\Local\Microsoft\Windows\INetCache\Content.Word\DANVA_BOMÃ†RKE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C:\Users\Word Specialisten\AppData\Local\Microsoft\Windows\INetCache\Content.Word\DANVA_BOMÃ†RKE_2017.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036400" cy="5036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1CFA4666" wp14:editId="486B7D43">
          <wp:simplePos x="0" y="0"/>
          <wp:positionH relativeFrom="page">
            <wp:posOffset>5202555</wp:posOffset>
          </wp:positionH>
          <wp:positionV relativeFrom="page">
            <wp:posOffset>360045</wp:posOffset>
          </wp:positionV>
          <wp:extent cx="1800000" cy="468000"/>
          <wp:effectExtent l="0" t="0" r="0" b="8255"/>
          <wp:wrapNone/>
          <wp:docPr id="9" name="LogoPage1" descr="C:\Users\Word Specialisten\AppData\Local\Microsoft\Windows\INetCache\Content.Word\DANVA_LOGO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C:\Users\Word Specialisten\AppData\Local\Microsoft\Windows\INetCache\Content.Word\DANVA_LOGO_2017.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00000" cy="46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E323C"/>
    <w:multiLevelType w:val="multilevel"/>
    <w:tmpl w:val="B17A4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A67C9"/>
    <w:multiLevelType w:val="hybridMultilevel"/>
    <w:tmpl w:val="87EE2B7A"/>
    <w:lvl w:ilvl="0" w:tplc="C8527BA4">
      <w:start w:val="1"/>
      <w:numFmt w:val="lowerLetter"/>
      <w:lvlText w:val="%1)"/>
      <w:lvlJc w:val="left"/>
      <w:pPr>
        <w:ind w:left="720" w:hanging="360"/>
      </w:pPr>
      <w:rPr>
        <w:rFonts w:hint="default"/>
      </w:rPr>
    </w:lvl>
    <w:lvl w:ilvl="1" w:tplc="E648EC6A" w:tentative="1">
      <w:start w:val="1"/>
      <w:numFmt w:val="lowerLetter"/>
      <w:lvlText w:val="%2."/>
      <w:lvlJc w:val="left"/>
      <w:pPr>
        <w:ind w:left="1440" w:hanging="360"/>
      </w:pPr>
    </w:lvl>
    <w:lvl w:ilvl="2" w:tplc="64F0DB1A" w:tentative="1">
      <w:start w:val="1"/>
      <w:numFmt w:val="lowerRoman"/>
      <w:lvlText w:val="%3."/>
      <w:lvlJc w:val="right"/>
      <w:pPr>
        <w:ind w:left="2160" w:hanging="180"/>
      </w:pPr>
    </w:lvl>
    <w:lvl w:ilvl="3" w:tplc="21DC48B0" w:tentative="1">
      <w:start w:val="1"/>
      <w:numFmt w:val="decimal"/>
      <w:lvlText w:val="%4."/>
      <w:lvlJc w:val="left"/>
      <w:pPr>
        <w:ind w:left="2880" w:hanging="360"/>
      </w:pPr>
    </w:lvl>
    <w:lvl w:ilvl="4" w:tplc="F17A9974" w:tentative="1">
      <w:start w:val="1"/>
      <w:numFmt w:val="lowerLetter"/>
      <w:lvlText w:val="%5."/>
      <w:lvlJc w:val="left"/>
      <w:pPr>
        <w:ind w:left="3600" w:hanging="360"/>
      </w:pPr>
    </w:lvl>
    <w:lvl w:ilvl="5" w:tplc="80D4BF3C" w:tentative="1">
      <w:start w:val="1"/>
      <w:numFmt w:val="lowerRoman"/>
      <w:lvlText w:val="%6."/>
      <w:lvlJc w:val="right"/>
      <w:pPr>
        <w:ind w:left="4320" w:hanging="180"/>
      </w:pPr>
    </w:lvl>
    <w:lvl w:ilvl="6" w:tplc="DC7281F0" w:tentative="1">
      <w:start w:val="1"/>
      <w:numFmt w:val="decimal"/>
      <w:lvlText w:val="%7."/>
      <w:lvlJc w:val="left"/>
      <w:pPr>
        <w:ind w:left="5040" w:hanging="360"/>
      </w:pPr>
    </w:lvl>
    <w:lvl w:ilvl="7" w:tplc="60DAE490" w:tentative="1">
      <w:start w:val="1"/>
      <w:numFmt w:val="lowerLetter"/>
      <w:lvlText w:val="%8."/>
      <w:lvlJc w:val="left"/>
      <w:pPr>
        <w:ind w:left="5760" w:hanging="360"/>
      </w:pPr>
    </w:lvl>
    <w:lvl w:ilvl="8" w:tplc="017C4440" w:tentative="1">
      <w:start w:val="1"/>
      <w:numFmt w:val="lowerRoman"/>
      <w:lvlText w:val="%9."/>
      <w:lvlJc w:val="right"/>
      <w:pPr>
        <w:ind w:left="6480" w:hanging="180"/>
      </w:pPr>
    </w:lvl>
  </w:abstractNum>
  <w:abstractNum w:abstractNumId="2" w15:restartNumberingAfterBreak="0">
    <w:nsid w:val="149D03FE"/>
    <w:multiLevelType w:val="multilevel"/>
    <w:tmpl w:val="C3E26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7D184D"/>
    <w:multiLevelType w:val="multilevel"/>
    <w:tmpl w:val="D03ADC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12E0868"/>
    <w:multiLevelType w:val="hybridMultilevel"/>
    <w:tmpl w:val="58CC23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2D4599A"/>
    <w:multiLevelType w:val="hybridMultilevel"/>
    <w:tmpl w:val="76E6EA14"/>
    <w:lvl w:ilvl="0" w:tplc="37F65502">
      <w:start w:val="1"/>
      <w:numFmt w:val="bullet"/>
      <w:lvlText w:val=""/>
      <w:lvlJc w:val="left"/>
      <w:pPr>
        <w:ind w:left="720" w:hanging="360"/>
      </w:pPr>
      <w:rPr>
        <w:rFonts w:ascii="Symbol" w:hAnsi="Symbol" w:hint="default"/>
      </w:rPr>
    </w:lvl>
    <w:lvl w:ilvl="1" w:tplc="9984F45A" w:tentative="1">
      <w:start w:val="1"/>
      <w:numFmt w:val="bullet"/>
      <w:lvlText w:val="o"/>
      <w:lvlJc w:val="left"/>
      <w:pPr>
        <w:ind w:left="1440" w:hanging="360"/>
      </w:pPr>
      <w:rPr>
        <w:rFonts w:ascii="Courier New" w:hAnsi="Courier New" w:cs="Courier New" w:hint="default"/>
      </w:rPr>
    </w:lvl>
    <w:lvl w:ilvl="2" w:tplc="C0FC1DA4" w:tentative="1">
      <w:start w:val="1"/>
      <w:numFmt w:val="bullet"/>
      <w:lvlText w:val=""/>
      <w:lvlJc w:val="left"/>
      <w:pPr>
        <w:ind w:left="2160" w:hanging="360"/>
      </w:pPr>
      <w:rPr>
        <w:rFonts w:ascii="Wingdings" w:hAnsi="Wingdings" w:hint="default"/>
      </w:rPr>
    </w:lvl>
    <w:lvl w:ilvl="3" w:tplc="703E8B6E" w:tentative="1">
      <w:start w:val="1"/>
      <w:numFmt w:val="bullet"/>
      <w:lvlText w:val=""/>
      <w:lvlJc w:val="left"/>
      <w:pPr>
        <w:ind w:left="2880" w:hanging="360"/>
      </w:pPr>
      <w:rPr>
        <w:rFonts w:ascii="Symbol" w:hAnsi="Symbol" w:hint="default"/>
      </w:rPr>
    </w:lvl>
    <w:lvl w:ilvl="4" w:tplc="932A4188" w:tentative="1">
      <w:start w:val="1"/>
      <w:numFmt w:val="bullet"/>
      <w:lvlText w:val="o"/>
      <w:lvlJc w:val="left"/>
      <w:pPr>
        <w:ind w:left="3600" w:hanging="360"/>
      </w:pPr>
      <w:rPr>
        <w:rFonts w:ascii="Courier New" w:hAnsi="Courier New" w:cs="Courier New" w:hint="default"/>
      </w:rPr>
    </w:lvl>
    <w:lvl w:ilvl="5" w:tplc="7A36023E" w:tentative="1">
      <w:start w:val="1"/>
      <w:numFmt w:val="bullet"/>
      <w:lvlText w:val=""/>
      <w:lvlJc w:val="left"/>
      <w:pPr>
        <w:ind w:left="4320" w:hanging="360"/>
      </w:pPr>
      <w:rPr>
        <w:rFonts w:ascii="Wingdings" w:hAnsi="Wingdings" w:hint="default"/>
      </w:rPr>
    </w:lvl>
    <w:lvl w:ilvl="6" w:tplc="5C7A29AA" w:tentative="1">
      <w:start w:val="1"/>
      <w:numFmt w:val="bullet"/>
      <w:lvlText w:val=""/>
      <w:lvlJc w:val="left"/>
      <w:pPr>
        <w:ind w:left="5040" w:hanging="360"/>
      </w:pPr>
      <w:rPr>
        <w:rFonts w:ascii="Symbol" w:hAnsi="Symbol" w:hint="default"/>
      </w:rPr>
    </w:lvl>
    <w:lvl w:ilvl="7" w:tplc="C1289CC0" w:tentative="1">
      <w:start w:val="1"/>
      <w:numFmt w:val="bullet"/>
      <w:lvlText w:val="o"/>
      <w:lvlJc w:val="left"/>
      <w:pPr>
        <w:ind w:left="5760" w:hanging="360"/>
      </w:pPr>
      <w:rPr>
        <w:rFonts w:ascii="Courier New" w:hAnsi="Courier New" w:cs="Courier New" w:hint="default"/>
      </w:rPr>
    </w:lvl>
    <w:lvl w:ilvl="8" w:tplc="DEDC2034" w:tentative="1">
      <w:start w:val="1"/>
      <w:numFmt w:val="bullet"/>
      <w:lvlText w:val=""/>
      <w:lvlJc w:val="left"/>
      <w:pPr>
        <w:ind w:left="6480" w:hanging="360"/>
      </w:pPr>
      <w:rPr>
        <w:rFonts w:ascii="Wingdings" w:hAnsi="Wingdings" w:hint="default"/>
      </w:rPr>
    </w:lvl>
  </w:abstractNum>
  <w:abstractNum w:abstractNumId="6" w15:restartNumberingAfterBreak="0">
    <w:nsid w:val="56596EBB"/>
    <w:multiLevelType w:val="hybridMultilevel"/>
    <w:tmpl w:val="C5AA9E4A"/>
    <w:lvl w:ilvl="0" w:tplc="BA9C7B5E">
      <w:start w:val="1"/>
      <w:numFmt w:val="decimal"/>
      <w:lvlText w:val="%1."/>
      <w:lvlJc w:val="left"/>
      <w:pPr>
        <w:ind w:left="720" w:hanging="360"/>
      </w:pPr>
      <w:rPr>
        <w:rFonts w:hint="default"/>
      </w:rPr>
    </w:lvl>
    <w:lvl w:ilvl="1" w:tplc="4AC27582" w:tentative="1">
      <w:start w:val="1"/>
      <w:numFmt w:val="lowerLetter"/>
      <w:lvlText w:val="%2."/>
      <w:lvlJc w:val="left"/>
      <w:pPr>
        <w:ind w:left="1440" w:hanging="360"/>
      </w:pPr>
    </w:lvl>
    <w:lvl w:ilvl="2" w:tplc="7CF66F16" w:tentative="1">
      <w:start w:val="1"/>
      <w:numFmt w:val="lowerRoman"/>
      <w:lvlText w:val="%3."/>
      <w:lvlJc w:val="right"/>
      <w:pPr>
        <w:ind w:left="2160" w:hanging="180"/>
      </w:pPr>
    </w:lvl>
    <w:lvl w:ilvl="3" w:tplc="06149E40" w:tentative="1">
      <w:start w:val="1"/>
      <w:numFmt w:val="decimal"/>
      <w:lvlText w:val="%4."/>
      <w:lvlJc w:val="left"/>
      <w:pPr>
        <w:ind w:left="2880" w:hanging="360"/>
      </w:pPr>
    </w:lvl>
    <w:lvl w:ilvl="4" w:tplc="96E438D6" w:tentative="1">
      <w:start w:val="1"/>
      <w:numFmt w:val="lowerLetter"/>
      <w:lvlText w:val="%5."/>
      <w:lvlJc w:val="left"/>
      <w:pPr>
        <w:ind w:left="3600" w:hanging="360"/>
      </w:pPr>
    </w:lvl>
    <w:lvl w:ilvl="5" w:tplc="C8085A3E" w:tentative="1">
      <w:start w:val="1"/>
      <w:numFmt w:val="lowerRoman"/>
      <w:lvlText w:val="%6."/>
      <w:lvlJc w:val="right"/>
      <w:pPr>
        <w:ind w:left="4320" w:hanging="180"/>
      </w:pPr>
    </w:lvl>
    <w:lvl w:ilvl="6" w:tplc="84BEF28E" w:tentative="1">
      <w:start w:val="1"/>
      <w:numFmt w:val="decimal"/>
      <w:lvlText w:val="%7."/>
      <w:lvlJc w:val="left"/>
      <w:pPr>
        <w:ind w:left="5040" w:hanging="360"/>
      </w:pPr>
    </w:lvl>
    <w:lvl w:ilvl="7" w:tplc="C8AADD1A" w:tentative="1">
      <w:start w:val="1"/>
      <w:numFmt w:val="lowerLetter"/>
      <w:lvlText w:val="%8."/>
      <w:lvlJc w:val="left"/>
      <w:pPr>
        <w:ind w:left="5760" w:hanging="360"/>
      </w:pPr>
    </w:lvl>
    <w:lvl w:ilvl="8" w:tplc="AE488AF2" w:tentative="1">
      <w:start w:val="1"/>
      <w:numFmt w:val="lowerRoman"/>
      <w:lvlText w:val="%9."/>
      <w:lvlJc w:val="right"/>
      <w:pPr>
        <w:ind w:left="6480" w:hanging="180"/>
      </w:pPr>
    </w:lvl>
  </w:abstractNum>
  <w:num w:numId="1" w16cid:durableId="269825293">
    <w:abstractNumId w:val="6"/>
  </w:num>
  <w:num w:numId="2" w16cid:durableId="642345535">
    <w:abstractNumId w:val="5"/>
  </w:num>
  <w:num w:numId="3" w16cid:durableId="19582176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7751738">
    <w:abstractNumId w:val="1"/>
  </w:num>
  <w:num w:numId="5" w16cid:durableId="1834025960">
    <w:abstractNumId w:val="0"/>
  </w:num>
  <w:num w:numId="6" w16cid:durableId="1309020692">
    <w:abstractNumId w:val="2"/>
  </w:num>
  <w:num w:numId="7" w16cid:durableId="1669597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1304"/>
  <w:autoHyphenation/>
  <w:hyphenationZone w:val="8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190"/>
    <w:rsid w:val="00005D13"/>
    <w:rsid w:val="0000654A"/>
    <w:rsid w:val="00036437"/>
    <w:rsid w:val="000370EE"/>
    <w:rsid w:val="00041928"/>
    <w:rsid w:val="00042EB2"/>
    <w:rsid w:val="00051A1E"/>
    <w:rsid w:val="000523B5"/>
    <w:rsid w:val="00057F99"/>
    <w:rsid w:val="000603CF"/>
    <w:rsid w:val="0006734C"/>
    <w:rsid w:val="00077B38"/>
    <w:rsid w:val="00081770"/>
    <w:rsid w:val="00086EC7"/>
    <w:rsid w:val="00090CD2"/>
    <w:rsid w:val="0009185C"/>
    <w:rsid w:val="00092058"/>
    <w:rsid w:val="00095CA4"/>
    <w:rsid w:val="000A71E9"/>
    <w:rsid w:val="000A7587"/>
    <w:rsid w:val="000B3068"/>
    <w:rsid w:val="000B4FFB"/>
    <w:rsid w:val="000B589D"/>
    <w:rsid w:val="000C2530"/>
    <w:rsid w:val="000D1902"/>
    <w:rsid w:val="000D3665"/>
    <w:rsid w:val="000D6AD8"/>
    <w:rsid w:val="000E08DC"/>
    <w:rsid w:val="000E2AD2"/>
    <w:rsid w:val="000E4ECE"/>
    <w:rsid w:val="000E6318"/>
    <w:rsid w:val="000E63F7"/>
    <w:rsid w:val="000F1A4A"/>
    <w:rsid w:val="000F1B76"/>
    <w:rsid w:val="000F5638"/>
    <w:rsid w:val="000F565C"/>
    <w:rsid w:val="000F6F0D"/>
    <w:rsid w:val="000F7A54"/>
    <w:rsid w:val="0011139E"/>
    <w:rsid w:val="00114476"/>
    <w:rsid w:val="0011585A"/>
    <w:rsid w:val="00120FB2"/>
    <w:rsid w:val="0012246C"/>
    <w:rsid w:val="001240B2"/>
    <w:rsid w:val="00124BFB"/>
    <w:rsid w:val="00132893"/>
    <w:rsid w:val="00132E2F"/>
    <w:rsid w:val="0014663A"/>
    <w:rsid w:val="001506F2"/>
    <w:rsid w:val="0015408A"/>
    <w:rsid w:val="0015469A"/>
    <w:rsid w:val="00156B5A"/>
    <w:rsid w:val="001667C0"/>
    <w:rsid w:val="00167EF5"/>
    <w:rsid w:val="001700F9"/>
    <w:rsid w:val="001703F8"/>
    <w:rsid w:val="001721BC"/>
    <w:rsid w:val="00172F10"/>
    <w:rsid w:val="0018016C"/>
    <w:rsid w:val="001843C5"/>
    <w:rsid w:val="001854F7"/>
    <w:rsid w:val="00187C83"/>
    <w:rsid w:val="00187D4F"/>
    <w:rsid w:val="001A150A"/>
    <w:rsid w:val="001A6AFA"/>
    <w:rsid w:val="001B498E"/>
    <w:rsid w:val="001C189E"/>
    <w:rsid w:val="001C1AB6"/>
    <w:rsid w:val="001C43D8"/>
    <w:rsid w:val="001D4FE4"/>
    <w:rsid w:val="001E3119"/>
    <w:rsid w:val="001E7CE2"/>
    <w:rsid w:val="001F1B4B"/>
    <w:rsid w:val="001F3759"/>
    <w:rsid w:val="001F49C6"/>
    <w:rsid w:val="001F7A02"/>
    <w:rsid w:val="00201395"/>
    <w:rsid w:val="0020450C"/>
    <w:rsid w:val="00206FBA"/>
    <w:rsid w:val="002124A8"/>
    <w:rsid w:val="0022208B"/>
    <w:rsid w:val="002222DD"/>
    <w:rsid w:val="00231D54"/>
    <w:rsid w:val="00231E7B"/>
    <w:rsid w:val="0023356D"/>
    <w:rsid w:val="0024049B"/>
    <w:rsid w:val="00241B4C"/>
    <w:rsid w:val="002430FC"/>
    <w:rsid w:val="002536CD"/>
    <w:rsid w:val="00261DC4"/>
    <w:rsid w:val="00263AE1"/>
    <w:rsid w:val="00266EEE"/>
    <w:rsid w:val="00276DEC"/>
    <w:rsid w:val="00283B59"/>
    <w:rsid w:val="002916E7"/>
    <w:rsid w:val="00293E2F"/>
    <w:rsid w:val="002A3423"/>
    <w:rsid w:val="002A57BE"/>
    <w:rsid w:val="002A6F4C"/>
    <w:rsid w:val="002A7D44"/>
    <w:rsid w:val="002B733E"/>
    <w:rsid w:val="002B7D38"/>
    <w:rsid w:val="002C175A"/>
    <w:rsid w:val="002C3630"/>
    <w:rsid w:val="002C6A7A"/>
    <w:rsid w:val="002D1C5F"/>
    <w:rsid w:val="002D1FD8"/>
    <w:rsid w:val="002D5522"/>
    <w:rsid w:val="002E1B3F"/>
    <w:rsid w:val="002E4588"/>
    <w:rsid w:val="002F141B"/>
    <w:rsid w:val="003024E9"/>
    <w:rsid w:val="00305494"/>
    <w:rsid w:val="0030790D"/>
    <w:rsid w:val="00310C8C"/>
    <w:rsid w:val="00314E9F"/>
    <w:rsid w:val="003150EF"/>
    <w:rsid w:val="00322ECB"/>
    <w:rsid w:val="00323D1D"/>
    <w:rsid w:val="003247F2"/>
    <w:rsid w:val="0033485F"/>
    <w:rsid w:val="00340750"/>
    <w:rsid w:val="00350E02"/>
    <w:rsid w:val="00356EBF"/>
    <w:rsid w:val="00363002"/>
    <w:rsid w:val="00366286"/>
    <w:rsid w:val="00372512"/>
    <w:rsid w:val="00374063"/>
    <w:rsid w:val="0037728F"/>
    <w:rsid w:val="00380A67"/>
    <w:rsid w:val="003819FD"/>
    <w:rsid w:val="0038253D"/>
    <w:rsid w:val="003855FD"/>
    <w:rsid w:val="0039252A"/>
    <w:rsid w:val="003925F0"/>
    <w:rsid w:val="00395B9D"/>
    <w:rsid w:val="003A26EC"/>
    <w:rsid w:val="003B1885"/>
    <w:rsid w:val="003B39E6"/>
    <w:rsid w:val="003B7162"/>
    <w:rsid w:val="003C2307"/>
    <w:rsid w:val="003D13A3"/>
    <w:rsid w:val="003D2BA1"/>
    <w:rsid w:val="003E0E2A"/>
    <w:rsid w:val="003E32C5"/>
    <w:rsid w:val="003E3327"/>
    <w:rsid w:val="004030C2"/>
    <w:rsid w:val="004055C2"/>
    <w:rsid w:val="004074D0"/>
    <w:rsid w:val="00407CCA"/>
    <w:rsid w:val="00411D15"/>
    <w:rsid w:val="00427D31"/>
    <w:rsid w:val="00431E81"/>
    <w:rsid w:val="00433FE8"/>
    <w:rsid w:val="00441903"/>
    <w:rsid w:val="00442C7A"/>
    <w:rsid w:val="00443F05"/>
    <w:rsid w:val="004453FA"/>
    <w:rsid w:val="00446D38"/>
    <w:rsid w:val="0045165C"/>
    <w:rsid w:val="004537B8"/>
    <w:rsid w:val="00463BE1"/>
    <w:rsid w:val="00470D5A"/>
    <w:rsid w:val="004719B4"/>
    <w:rsid w:val="00487ECD"/>
    <w:rsid w:val="004C516D"/>
    <w:rsid w:val="004C52EE"/>
    <w:rsid w:val="004C6003"/>
    <w:rsid w:val="004C6D73"/>
    <w:rsid w:val="004D029B"/>
    <w:rsid w:val="004D1436"/>
    <w:rsid w:val="004D33E0"/>
    <w:rsid w:val="004D6A69"/>
    <w:rsid w:val="004D7982"/>
    <w:rsid w:val="004E7AFF"/>
    <w:rsid w:val="004F0F43"/>
    <w:rsid w:val="004F4439"/>
    <w:rsid w:val="005025CC"/>
    <w:rsid w:val="0051468B"/>
    <w:rsid w:val="00515AAC"/>
    <w:rsid w:val="00522FCA"/>
    <w:rsid w:val="005338F9"/>
    <w:rsid w:val="005406C6"/>
    <w:rsid w:val="00543C11"/>
    <w:rsid w:val="00545BD6"/>
    <w:rsid w:val="00546625"/>
    <w:rsid w:val="0056007B"/>
    <w:rsid w:val="00563E3E"/>
    <w:rsid w:val="0057520E"/>
    <w:rsid w:val="00577D64"/>
    <w:rsid w:val="0058450E"/>
    <w:rsid w:val="00584979"/>
    <w:rsid w:val="00584BF5"/>
    <w:rsid w:val="005850EF"/>
    <w:rsid w:val="00590490"/>
    <w:rsid w:val="005925D5"/>
    <w:rsid w:val="00593C1C"/>
    <w:rsid w:val="005966E4"/>
    <w:rsid w:val="00597BBE"/>
    <w:rsid w:val="005A445B"/>
    <w:rsid w:val="005A47B2"/>
    <w:rsid w:val="005A5DEF"/>
    <w:rsid w:val="005B07E8"/>
    <w:rsid w:val="005B3BF6"/>
    <w:rsid w:val="005C26D6"/>
    <w:rsid w:val="005C437F"/>
    <w:rsid w:val="005E01A8"/>
    <w:rsid w:val="005E405A"/>
    <w:rsid w:val="005E47E3"/>
    <w:rsid w:val="005E4B4F"/>
    <w:rsid w:val="005E7DD4"/>
    <w:rsid w:val="005F2EC0"/>
    <w:rsid w:val="00602258"/>
    <w:rsid w:val="00606006"/>
    <w:rsid w:val="00606DB8"/>
    <w:rsid w:val="00607581"/>
    <w:rsid w:val="00614CA5"/>
    <w:rsid w:val="006171B4"/>
    <w:rsid w:val="00630782"/>
    <w:rsid w:val="00631629"/>
    <w:rsid w:val="00634777"/>
    <w:rsid w:val="006431FE"/>
    <w:rsid w:val="0064553A"/>
    <w:rsid w:val="00647F66"/>
    <w:rsid w:val="00650942"/>
    <w:rsid w:val="0065348F"/>
    <w:rsid w:val="0065499F"/>
    <w:rsid w:val="00655349"/>
    <w:rsid w:val="0065645F"/>
    <w:rsid w:val="00661C84"/>
    <w:rsid w:val="00664690"/>
    <w:rsid w:val="00665EFB"/>
    <w:rsid w:val="00667AD2"/>
    <w:rsid w:val="00667BB5"/>
    <w:rsid w:val="00667D70"/>
    <w:rsid w:val="0067266D"/>
    <w:rsid w:val="006760B6"/>
    <w:rsid w:val="00676B0C"/>
    <w:rsid w:val="00681483"/>
    <w:rsid w:val="00691CD7"/>
    <w:rsid w:val="006957D1"/>
    <w:rsid w:val="00697D8B"/>
    <w:rsid w:val="006A5D8F"/>
    <w:rsid w:val="006B017D"/>
    <w:rsid w:val="006B4E8B"/>
    <w:rsid w:val="006B4ED3"/>
    <w:rsid w:val="006B7380"/>
    <w:rsid w:val="006C214E"/>
    <w:rsid w:val="006C3767"/>
    <w:rsid w:val="006D4C81"/>
    <w:rsid w:val="006D6D98"/>
    <w:rsid w:val="006F13AF"/>
    <w:rsid w:val="006F5149"/>
    <w:rsid w:val="007044E3"/>
    <w:rsid w:val="00704899"/>
    <w:rsid w:val="007048CD"/>
    <w:rsid w:val="00705557"/>
    <w:rsid w:val="0070710F"/>
    <w:rsid w:val="007076F0"/>
    <w:rsid w:val="0071103A"/>
    <w:rsid w:val="00722CA4"/>
    <w:rsid w:val="00725936"/>
    <w:rsid w:val="00727B40"/>
    <w:rsid w:val="007300D3"/>
    <w:rsid w:val="00735F85"/>
    <w:rsid w:val="00746190"/>
    <w:rsid w:val="0075081C"/>
    <w:rsid w:val="00754268"/>
    <w:rsid w:val="007622A8"/>
    <w:rsid w:val="00763B5B"/>
    <w:rsid w:val="00765AA5"/>
    <w:rsid w:val="0077052D"/>
    <w:rsid w:val="007708D9"/>
    <w:rsid w:val="007744E2"/>
    <w:rsid w:val="007814D5"/>
    <w:rsid w:val="00782FBE"/>
    <w:rsid w:val="007915BE"/>
    <w:rsid w:val="00791875"/>
    <w:rsid w:val="00793B89"/>
    <w:rsid w:val="007A4529"/>
    <w:rsid w:val="007B03F0"/>
    <w:rsid w:val="007B46D8"/>
    <w:rsid w:val="007C0462"/>
    <w:rsid w:val="007C0AD9"/>
    <w:rsid w:val="007C229A"/>
    <w:rsid w:val="007C319B"/>
    <w:rsid w:val="007C327E"/>
    <w:rsid w:val="007D16D5"/>
    <w:rsid w:val="007D6CF0"/>
    <w:rsid w:val="007D6FB9"/>
    <w:rsid w:val="007D7553"/>
    <w:rsid w:val="007E3289"/>
    <w:rsid w:val="007E5732"/>
    <w:rsid w:val="007F051B"/>
    <w:rsid w:val="007F4C51"/>
    <w:rsid w:val="007F6A69"/>
    <w:rsid w:val="007F781B"/>
    <w:rsid w:val="00811123"/>
    <w:rsid w:val="008165BF"/>
    <w:rsid w:val="00820FBF"/>
    <w:rsid w:val="00825E5A"/>
    <w:rsid w:val="00826964"/>
    <w:rsid w:val="00841F58"/>
    <w:rsid w:val="00845498"/>
    <w:rsid w:val="008471E4"/>
    <w:rsid w:val="00867D56"/>
    <w:rsid w:val="00867E2B"/>
    <w:rsid w:val="008718EB"/>
    <w:rsid w:val="0087782D"/>
    <w:rsid w:val="00880216"/>
    <w:rsid w:val="00880DBC"/>
    <w:rsid w:val="00881EE6"/>
    <w:rsid w:val="008825CF"/>
    <w:rsid w:val="00887C7C"/>
    <w:rsid w:val="0089190B"/>
    <w:rsid w:val="00893058"/>
    <w:rsid w:val="0089531F"/>
    <w:rsid w:val="008959D9"/>
    <w:rsid w:val="008A107B"/>
    <w:rsid w:val="008A37B5"/>
    <w:rsid w:val="008A7253"/>
    <w:rsid w:val="008B1059"/>
    <w:rsid w:val="008B220D"/>
    <w:rsid w:val="008B2351"/>
    <w:rsid w:val="008B2729"/>
    <w:rsid w:val="008B465D"/>
    <w:rsid w:val="008B5EC0"/>
    <w:rsid w:val="008C5CCC"/>
    <w:rsid w:val="008C7B69"/>
    <w:rsid w:val="008D14CD"/>
    <w:rsid w:val="008D57B9"/>
    <w:rsid w:val="008D744C"/>
    <w:rsid w:val="008E1469"/>
    <w:rsid w:val="008E29BA"/>
    <w:rsid w:val="008E64C5"/>
    <w:rsid w:val="00900B79"/>
    <w:rsid w:val="009070C8"/>
    <w:rsid w:val="00910843"/>
    <w:rsid w:val="00915766"/>
    <w:rsid w:val="009260A7"/>
    <w:rsid w:val="0092729E"/>
    <w:rsid w:val="00933FE7"/>
    <w:rsid w:val="009357E6"/>
    <w:rsid w:val="00940B36"/>
    <w:rsid w:val="009509D8"/>
    <w:rsid w:val="00951AE5"/>
    <w:rsid w:val="00953F2C"/>
    <w:rsid w:val="009677FC"/>
    <w:rsid w:val="00973B0E"/>
    <w:rsid w:val="00976C09"/>
    <w:rsid w:val="00981F50"/>
    <w:rsid w:val="00983A9D"/>
    <w:rsid w:val="009914A0"/>
    <w:rsid w:val="00995D7E"/>
    <w:rsid w:val="009971E9"/>
    <w:rsid w:val="009A10BA"/>
    <w:rsid w:val="009B0D23"/>
    <w:rsid w:val="009B3FDE"/>
    <w:rsid w:val="009B6B2A"/>
    <w:rsid w:val="009B7E3C"/>
    <w:rsid w:val="009C0F50"/>
    <w:rsid w:val="009D3295"/>
    <w:rsid w:val="009E2265"/>
    <w:rsid w:val="009E3415"/>
    <w:rsid w:val="009E62DA"/>
    <w:rsid w:val="009F3156"/>
    <w:rsid w:val="009F57BF"/>
    <w:rsid w:val="00A036C2"/>
    <w:rsid w:val="00A052BE"/>
    <w:rsid w:val="00A2084B"/>
    <w:rsid w:val="00A23DF7"/>
    <w:rsid w:val="00A24430"/>
    <w:rsid w:val="00A2594B"/>
    <w:rsid w:val="00A26055"/>
    <w:rsid w:val="00A35D2C"/>
    <w:rsid w:val="00A37867"/>
    <w:rsid w:val="00A51289"/>
    <w:rsid w:val="00A52C0B"/>
    <w:rsid w:val="00A54C6D"/>
    <w:rsid w:val="00A55437"/>
    <w:rsid w:val="00A66A72"/>
    <w:rsid w:val="00A73EDF"/>
    <w:rsid w:val="00A77918"/>
    <w:rsid w:val="00A82A09"/>
    <w:rsid w:val="00A852E9"/>
    <w:rsid w:val="00A87F73"/>
    <w:rsid w:val="00A9199B"/>
    <w:rsid w:val="00A95573"/>
    <w:rsid w:val="00AA50CC"/>
    <w:rsid w:val="00AB15E6"/>
    <w:rsid w:val="00AB4DB6"/>
    <w:rsid w:val="00AD06AD"/>
    <w:rsid w:val="00AD0D45"/>
    <w:rsid w:val="00AE5D06"/>
    <w:rsid w:val="00AF41EB"/>
    <w:rsid w:val="00AF4C81"/>
    <w:rsid w:val="00AF5475"/>
    <w:rsid w:val="00AF778A"/>
    <w:rsid w:val="00B00CB9"/>
    <w:rsid w:val="00B036CE"/>
    <w:rsid w:val="00B05FBB"/>
    <w:rsid w:val="00B06690"/>
    <w:rsid w:val="00B07ED8"/>
    <w:rsid w:val="00B139E9"/>
    <w:rsid w:val="00B175E4"/>
    <w:rsid w:val="00B17946"/>
    <w:rsid w:val="00B179AC"/>
    <w:rsid w:val="00B23467"/>
    <w:rsid w:val="00B27053"/>
    <w:rsid w:val="00B27331"/>
    <w:rsid w:val="00B36B19"/>
    <w:rsid w:val="00B378AA"/>
    <w:rsid w:val="00B44ACF"/>
    <w:rsid w:val="00B46D48"/>
    <w:rsid w:val="00B5700A"/>
    <w:rsid w:val="00B57F80"/>
    <w:rsid w:val="00B6499A"/>
    <w:rsid w:val="00B666E3"/>
    <w:rsid w:val="00B671C6"/>
    <w:rsid w:val="00B718B0"/>
    <w:rsid w:val="00B725FD"/>
    <w:rsid w:val="00B73E83"/>
    <w:rsid w:val="00B740BD"/>
    <w:rsid w:val="00B76830"/>
    <w:rsid w:val="00B7745C"/>
    <w:rsid w:val="00B86D45"/>
    <w:rsid w:val="00B904C7"/>
    <w:rsid w:val="00B91A68"/>
    <w:rsid w:val="00B94F10"/>
    <w:rsid w:val="00BA0513"/>
    <w:rsid w:val="00BA2550"/>
    <w:rsid w:val="00BA3295"/>
    <w:rsid w:val="00BA667C"/>
    <w:rsid w:val="00BC0752"/>
    <w:rsid w:val="00BC203E"/>
    <w:rsid w:val="00BC2E34"/>
    <w:rsid w:val="00BC2E6E"/>
    <w:rsid w:val="00BC72A1"/>
    <w:rsid w:val="00BD66E1"/>
    <w:rsid w:val="00BE1F98"/>
    <w:rsid w:val="00BE3B5D"/>
    <w:rsid w:val="00BF44F3"/>
    <w:rsid w:val="00BF4E96"/>
    <w:rsid w:val="00BF6B9F"/>
    <w:rsid w:val="00C00F7C"/>
    <w:rsid w:val="00C00FF7"/>
    <w:rsid w:val="00C06278"/>
    <w:rsid w:val="00C06FEB"/>
    <w:rsid w:val="00C2217B"/>
    <w:rsid w:val="00C315AC"/>
    <w:rsid w:val="00C34815"/>
    <w:rsid w:val="00C374FA"/>
    <w:rsid w:val="00C4310F"/>
    <w:rsid w:val="00C56BB3"/>
    <w:rsid w:val="00C61DB0"/>
    <w:rsid w:val="00C70058"/>
    <w:rsid w:val="00C71C3F"/>
    <w:rsid w:val="00C75E4E"/>
    <w:rsid w:val="00C80F3A"/>
    <w:rsid w:val="00C811F6"/>
    <w:rsid w:val="00C854FE"/>
    <w:rsid w:val="00C8640F"/>
    <w:rsid w:val="00C9294F"/>
    <w:rsid w:val="00CA61DE"/>
    <w:rsid w:val="00CA72FC"/>
    <w:rsid w:val="00CB0C28"/>
    <w:rsid w:val="00CB0F18"/>
    <w:rsid w:val="00CB7B9E"/>
    <w:rsid w:val="00CC3788"/>
    <w:rsid w:val="00CD3123"/>
    <w:rsid w:val="00CD6D2A"/>
    <w:rsid w:val="00CF050E"/>
    <w:rsid w:val="00D01C6C"/>
    <w:rsid w:val="00D04B4F"/>
    <w:rsid w:val="00D101DF"/>
    <w:rsid w:val="00D14323"/>
    <w:rsid w:val="00D15313"/>
    <w:rsid w:val="00D21DAD"/>
    <w:rsid w:val="00D2272F"/>
    <w:rsid w:val="00D30E92"/>
    <w:rsid w:val="00D337ED"/>
    <w:rsid w:val="00D35665"/>
    <w:rsid w:val="00D374DA"/>
    <w:rsid w:val="00D56F44"/>
    <w:rsid w:val="00D65CFE"/>
    <w:rsid w:val="00D7255F"/>
    <w:rsid w:val="00D77DC5"/>
    <w:rsid w:val="00D77F75"/>
    <w:rsid w:val="00D800A5"/>
    <w:rsid w:val="00D846BC"/>
    <w:rsid w:val="00D93184"/>
    <w:rsid w:val="00DA19C1"/>
    <w:rsid w:val="00DA4B84"/>
    <w:rsid w:val="00DA4F09"/>
    <w:rsid w:val="00DA50A6"/>
    <w:rsid w:val="00DA6765"/>
    <w:rsid w:val="00DC1C61"/>
    <w:rsid w:val="00DC3CB7"/>
    <w:rsid w:val="00DC4C72"/>
    <w:rsid w:val="00DD1969"/>
    <w:rsid w:val="00DD1E25"/>
    <w:rsid w:val="00DD3B10"/>
    <w:rsid w:val="00DD64E5"/>
    <w:rsid w:val="00DE3468"/>
    <w:rsid w:val="00DF1272"/>
    <w:rsid w:val="00DF3A3C"/>
    <w:rsid w:val="00DF4D67"/>
    <w:rsid w:val="00DF5F78"/>
    <w:rsid w:val="00DF64C6"/>
    <w:rsid w:val="00E0062F"/>
    <w:rsid w:val="00E01B84"/>
    <w:rsid w:val="00E05EEB"/>
    <w:rsid w:val="00E1078F"/>
    <w:rsid w:val="00E11323"/>
    <w:rsid w:val="00E11A2F"/>
    <w:rsid w:val="00E1269F"/>
    <w:rsid w:val="00E15335"/>
    <w:rsid w:val="00E26540"/>
    <w:rsid w:val="00E37B65"/>
    <w:rsid w:val="00E400C6"/>
    <w:rsid w:val="00E410AC"/>
    <w:rsid w:val="00E50049"/>
    <w:rsid w:val="00E51E86"/>
    <w:rsid w:val="00E542D3"/>
    <w:rsid w:val="00E62217"/>
    <w:rsid w:val="00E66330"/>
    <w:rsid w:val="00E71182"/>
    <w:rsid w:val="00E74375"/>
    <w:rsid w:val="00E75D65"/>
    <w:rsid w:val="00E800DD"/>
    <w:rsid w:val="00E80DC2"/>
    <w:rsid w:val="00E81921"/>
    <w:rsid w:val="00E85022"/>
    <w:rsid w:val="00E8502D"/>
    <w:rsid w:val="00E864D2"/>
    <w:rsid w:val="00E868C5"/>
    <w:rsid w:val="00E924F7"/>
    <w:rsid w:val="00EA1EB1"/>
    <w:rsid w:val="00EA264C"/>
    <w:rsid w:val="00EA2EB4"/>
    <w:rsid w:val="00EA4A04"/>
    <w:rsid w:val="00EA72A8"/>
    <w:rsid w:val="00EB055C"/>
    <w:rsid w:val="00EB3700"/>
    <w:rsid w:val="00EC1424"/>
    <w:rsid w:val="00EC3EDE"/>
    <w:rsid w:val="00EC76F0"/>
    <w:rsid w:val="00ED59DD"/>
    <w:rsid w:val="00ED658A"/>
    <w:rsid w:val="00EE5F55"/>
    <w:rsid w:val="00EF0AD8"/>
    <w:rsid w:val="00EF40A3"/>
    <w:rsid w:val="00F10EF8"/>
    <w:rsid w:val="00F128D4"/>
    <w:rsid w:val="00F133E3"/>
    <w:rsid w:val="00F20D60"/>
    <w:rsid w:val="00F22519"/>
    <w:rsid w:val="00F23837"/>
    <w:rsid w:val="00F3076D"/>
    <w:rsid w:val="00F30D4B"/>
    <w:rsid w:val="00F34786"/>
    <w:rsid w:val="00F40DBB"/>
    <w:rsid w:val="00F45EA2"/>
    <w:rsid w:val="00F47C19"/>
    <w:rsid w:val="00F50367"/>
    <w:rsid w:val="00F508C1"/>
    <w:rsid w:val="00F513E0"/>
    <w:rsid w:val="00F519F8"/>
    <w:rsid w:val="00F56E44"/>
    <w:rsid w:val="00F57312"/>
    <w:rsid w:val="00F60090"/>
    <w:rsid w:val="00F622A1"/>
    <w:rsid w:val="00F637A1"/>
    <w:rsid w:val="00F66A4A"/>
    <w:rsid w:val="00F76F59"/>
    <w:rsid w:val="00F82330"/>
    <w:rsid w:val="00F93AD4"/>
    <w:rsid w:val="00FA355C"/>
    <w:rsid w:val="00FA3F17"/>
    <w:rsid w:val="00FA55CF"/>
    <w:rsid w:val="00FA703C"/>
    <w:rsid w:val="00FB0904"/>
    <w:rsid w:val="00FC4FA7"/>
    <w:rsid w:val="00FC608D"/>
    <w:rsid w:val="00FC63B9"/>
    <w:rsid w:val="00FD0818"/>
    <w:rsid w:val="00FD11FB"/>
    <w:rsid w:val="00FD649D"/>
    <w:rsid w:val="00FD7C6D"/>
    <w:rsid w:val="00FE04EA"/>
    <w:rsid w:val="00FE2275"/>
    <w:rsid w:val="00FE2AB6"/>
    <w:rsid w:val="00FE5250"/>
    <w:rsid w:val="00FE6AEB"/>
    <w:rsid w:val="00FE6D32"/>
    <w:rsid w:val="00FF2EA8"/>
    <w:rsid w:val="00FF3F00"/>
  </w:rsids>
  <m:mathPr>
    <m:mathFont m:val="Cambria Math"/>
    <m:brkBin m:val="before"/>
    <m:brkBinSub m:val="--"/>
    <m:smallFrac m:val="0"/>
    <m:dispDef/>
    <m:lMargin m:val="0"/>
    <m:rMargin m:val="0"/>
    <m:defJc m:val="centerGroup"/>
    <m:wrapIndent m:val="1440"/>
    <m:intLim m:val="subSup"/>
    <m:naryLim m:val="undOvr"/>
  </m:mathPr>
  <w:themeFontLang w:val="da-DK"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E2796"/>
  <w15:docId w15:val="{B1E4CE22-3FAC-4DE1-A8C6-4360C0A4A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2"/>
    <w:qFormat/>
    <w:rsid w:val="004055C2"/>
    <w:pPr>
      <w:spacing w:line="230" w:lineRule="atLeast"/>
    </w:pPr>
    <w:rPr>
      <w:rFonts w:ascii="Verdana" w:hAnsi="Verdana" w:cs="Arial"/>
      <w:sz w:val="18"/>
      <w:szCs w:val="24"/>
    </w:rPr>
  </w:style>
  <w:style w:type="paragraph" w:styleId="Overskrift1">
    <w:name w:val="heading 1"/>
    <w:basedOn w:val="Normal"/>
    <w:next w:val="Normal"/>
    <w:qFormat/>
    <w:rsid w:val="00231E7B"/>
    <w:pPr>
      <w:keepNext/>
      <w:spacing w:after="240" w:line="360" w:lineRule="atLeast"/>
      <w:outlineLvl w:val="0"/>
    </w:pPr>
    <w:rPr>
      <w:b/>
      <w:bCs/>
      <w:kern w:val="32"/>
      <w:sz w:val="34"/>
      <w:szCs w:val="32"/>
    </w:rPr>
  </w:style>
  <w:style w:type="paragraph" w:styleId="Overskrift2">
    <w:name w:val="heading 2"/>
    <w:basedOn w:val="Normal"/>
    <w:next w:val="Normal"/>
    <w:qFormat/>
    <w:rsid w:val="00B57F80"/>
    <w:pPr>
      <w:keepNext/>
      <w:spacing w:before="240"/>
      <w:outlineLvl w:val="1"/>
    </w:pPr>
    <w:rPr>
      <w:b/>
      <w:bCs/>
      <w:iCs/>
      <w:szCs w:val="28"/>
    </w:rPr>
  </w:style>
  <w:style w:type="paragraph" w:styleId="Overskrift3">
    <w:name w:val="heading 3"/>
    <w:basedOn w:val="Normal"/>
    <w:next w:val="Normal"/>
    <w:semiHidden/>
    <w:rsid w:val="0000654A"/>
    <w:pPr>
      <w:keepNext/>
      <w:spacing w:before="240" w:after="60"/>
      <w:outlineLvl w:val="2"/>
    </w:pPr>
    <w:rPr>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semiHidden/>
    <w:rsid w:val="0000654A"/>
    <w:pPr>
      <w:tabs>
        <w:tab w:val="center" w:pos="4819"/>
        <w:tab w:val="right" w:pos="9638"/>
      </w:tabs>
    </w:pPr>
  </w:style>
  <w:style w:type="paragraph" w:styleId="Sidefod">
    <w:name w:val="footer"/>
    <w:basedOn w:val="Normal"/>
    <w:link w:val="SidefodTegn"/>
    <w:semiHidden/>
    <w:rsid w:val="00F23837"/>
    <w:pPr>
      <w:tabs>
        <w:tab w:val="center" w:pos="4819"/>
        <w:tab w:val="right" w:pos="9638"/>
      </w:tabs>
      <w:spacing w:line="230" w:lineRule="exact"/>
    </w:pPr>
    <w:rPr>
      <w:noProof/>
      <w:color w:val="000000"/>
    </w:rPr>
  </w:style>
  <w:style w:type="character" w:styleId="Hyperlink">
    <w:name w:val="Hyperlink"/>
    <w:basedOn w:val="Standardskrifttypeiafsnit"/>
    <w:uiPriority w:val="99"/>
    <w:rsid w:val="0000654A"/>
    <w:rPr>
      <w:color w:val="0000FF"/>
      <w:u w:val="single"/>
    </w:rPr>
  </w:style>
  <w:style w:type="character" w:styleId="Sidetal">
    <w:name w:val="page number"/>
    <w:basedOn w:val="Standardskrifttypeiafsnit"/>
    <w:semiHidden/>
    <w:rsid w:val="0000654A"/>
  </w:style>
  <w:style w:type="paragraph" w:styleId="Markeringsbobletekst">
    <w:name w:val="Balloon Text"/>
    <w:basedOn w:val="Normal"/>
    <w:semiHidden/>
    <w:rsid w:val="0000654A"/>
    <w:rPr>
      <w:rFonts w:ascii="Tahoma" w:hAnsi="Tahoma" w:cs="Tahoma"/>
      <w:sz w:val="16"/>
      <w:szCs w:val="16"/>
    </w:rPr>
  </w:style>
  <w:style w:type="character" w:styleId="Kommentarhenvisning">
    <w:name w:val="annotation reference"/>
    <w:basedOn w:val="Standardskrifttypeiafsnit"/>
    <w:semiHidden/>
    <w:rsid w:val="0000654A"/>
    <w:rPr>
      <w:sz w:val="16"/>
      <w:szCs w:val="16"/>
    </w:rPr>
  </w:style>
  <w:style w:type="paragraph" w:styleId="Kommentartekst">
    <w:name w:val="annotation text"/>
    <w:basedOn w:val="Normal"/>
    <w:semiHidden/>
    <w:rsid w:val="0000654A"/>
    <w:rPr>
      <w:szCs w:val="20"/>
    </w:rPr>
  </w:style>
  <w:style w:type="paragraph" w:styleId="Kommentaremne">
    <w:name w:val="annotation subject"/>
    <w:basedOn w:val="Kommentartekst"/>
    <w:next w:val="Kommentartekst"/>
    <w:semiHidden/>
    <w:rsid w:val="0000654A"/>
    <w:rPr>
      <w:b/>
      <w:bCs/>
    </w:rPr>
  </w:style>
  <w:style w:type="paragraph" w:styleId="Dokumentoversigt">
    <w:name w:val="Document Map"/>
    <w:basedOn w:val="Normal"/>
    <w:semiHidden/>
    <w:rsid w:val="0000654A"/>
    <w:pPr>
      <w:shd w:val="clear" w:color="auto" w:fill="000080"/>
    </w:pPr>
    <w:rPr>
      <w:rFonts w:ascii="Tahoma" w:hAnsi="Tahoma" w:cs="Tahoma"/>
    </w:rPr>
  </w:style>
  <w:style w:type="table" w:styleId="Tabel-Gitter">
    <w:name w:val="Table Grid"/>
    <w:basedOn w:val="Tabel-Normal"/>
    <w:rsid w:val="00006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s">
    <w:name w:val="Labels"/>
    <w:basedOn w:val="Standardskrifttypeiafsnit"/>
    <w:uiPriority w:val="1"/>
    <w:semiHidden/>
    <w:qFormat/>
    <w:rsid w:val="00F76F59"/>
    <w:rPr>
      <w:b/>
      <w:caps/>
      <w:smallCaps w:val="0"/>
    </w:rPr>
  </w:style>
  <w:style w:type="character" w:customStyle="1" w:styleId="SidefodTegn">
    <w:name w:val="Sidefod Tegn"/>
    <w:basedOn w:val="Standardskrifttypeiafsnit"/>
    <w:link w:val="Sidefod"/>
    <w:semiHidden/>
    <w:rsid w:val="00F23837"/>
    <w:rPr>
      <w:rFonts w:ascii="Verdana" w:hAnsi="Verdana" w:cs="Arial"/>
      <w:noProof/>
      <w:color w:val="000000"/>
      <w:sz w:val="18"/>
      <w:szCs w:val="24"/>
    </w:rPr>
  </w:style>
  <w:style w:type="paragraph" w:customStyle="1" w:styleId="Dokumenttitel">
    <w:name w:val="Dokumenttitel"/>
    <w:basedOn w:val="Normal"/>
    <w:semiHidden/>
    <w:rsid w:val="00B57F80"/>
    <w:pPr>
      <w:spacing w:line="240" w:lineRule="auto"/>
    </w:pPr>
    <w:rPr>
      <w:rFonts w:cs="Times New Roman"/>
      <w:b/>
      <w:caps/>
      <w:color w:val="000000"/>
      <w:sz w:val="30"/>
    </w:rPr>
  </w:style>
  <w:style w:type="paragraph" w:styleId="Listeafsnit">
    <w:name w:val="List Paragraph"/>
    <w:basedOn w:val="Normal"/>
    <w:uiPriority w:val="34"/>
    <w:rsid w:val="0064553A"/>
    <w:pPr>
      <w:ind w:left="720"/>
      <w:contextualSpacing/>
    </w:pPr>
  </w:style>
  <w:style w:type="paragraph" w:styleId="Korrektur">
    <w:name w:val="Revision"/>
    <w:hidden/>
    <w:uiPriority w:val="99"/>
    <w:semiHidden/>
    <w:rsid w:val="005E4B4F"/>
    <w:rPr>
      <w:rFonts w:ascii="Verdana" w:hAnsi="Verdana" w:cs="Arial"/>
      <w:sz w:val="18"/>
      <w:szCs w:val="24"/>
    </w:rPr>
  </w:style>
  <w:style w:type="paragraph" w:styleId="Fodnotetekst">
    <w:name w:val="footnote text"/>
    <w:basedOn w:val="Normal"/>
    <w:link w:val="FodnotetekstTegn"/>
    <w:semiHidden/>
    <w:unhideWhenUsed/>
    <w:rsid w:val="00D04B4F"/>
    <w:pPr>
      <w:spacing w:line="240" w:lineRule="auto"/>
    </w:pPr>
    <w:rPr>
      <w:sz w:val="20"/>
      <w:szCs w:val="20"/>
    </w:rPr>
  </w:style>
  <w:style w:type="character" w:customStyle="1" w:styleId="FodnotetekstTegn">
    <w:name w:val="Fodnotetekst Tegn"/>
    <w:basedOn w:val="Standardskrifttypeiafsnit"/>
    <w:link w:val="Fodnotetekst"/>
    <w:semiHidden/>
    <w:rsid w:val="00D04B4F"/>
    <w:rPr>
      <w:rFonts w:ascii="Verdana" w:hAnsi="Verdana" w:cs="Arial"/>
    </w:rPr>
  </w:style>
  <w:style w:type="character" w:styleId="Fodnotehenvisning">
    <w:name w:val="footnote reference"/>
    <w:basedOn w:val="Standardskrifttypeiafsnit"/>
    <w:semiHidden/>
    <w:unhideWhenUsed/>
    <w:rsid w:val="00D04B4F"/>
    <w:rPr>
      <w:vertAlign w:val="superscript"/>
    </w:rPr>
  </w:style>
  <w:style w:type="character" w:styleId="Ulstomtale">
    <w:name w:val="Unresolved Mention"/>
    <w:basedOn w:val="Standardskrifttypeiafsnit"/>
    <w:uiPriority w:val="99"/>
    <w:semiHidden/>
    <w:unhideWhenUsed/>
    <w:rsid w:val="00B725FD"/>
    <w:rPr>
      <w:color w:val="605E5C"/>
      <w:shd w:val="clear" w:color="auto" w:fill="E1DFDD"/>
    </w:rPr>
  </w:style>
  <w:style w:type="paragraph" w:styleId="Overskrift">
    <w:name w:val="TOC Heading"/>
    <w:basedOn w:val="Overskrift1"/>
    <w:next w:val="Normal"/>
    <w:uiPriority w:val="39"/>
    <w:unhideWhenUsed/>
    <w:qFormat/>
    <w:rsid w:val="006B4E8B"/>
    <w:pPr>
      <w:keepLines/>
      <w:spacing w:before="240" w:after="0" w:line="259" w:lineRule="auto"/>
      <w:outlineLvl w:val="9"/>
    </w:pPr>
    <w:rPr>
      <w:rFonts w:asciiTheme="majorHAnsi" w:eastAsiaTheme="majorEastAsia" w:hAnsiTheme="majorHAnsi" w:cstheme="majorBidi"/>
      <w:b w:val="0"/>
      <w:bCs w:val="0"/>
      <w:color w:val="17365D" w:themeColor="accent1" w:themeShade="BF"/>
      <w:kern w:val="0"/>
      <w:sz w:val="32"/>
    </w:rPr>
  </w:style>
  <w:style w:type="paragraph" w:styleId="Indholdsfortegnelse1">
    <w:name w:val="toc 1"/>
    <w:basedOn w:val="Normal"/>
    <w:next w:val="Normal"/>
    <w:autoRedefine/>
    <w:uiPriority w:val="39"/>
    <w:unhideWhenUsed/>
    <w:rsid w:val="006B4E8B"/>
    <w:pPr>
      <w:spacing w:after="100"/>
    </w:pPr>
  </w:style>
  <w:style w:type="paragraph" w:styleId="Indholdsfortegnelse2">
    <w:name w:val="toc 2"/>
    <w:basedOn w:val="Normal"/>
    <w:next w:val="Normal"/>
    <w:autoRedefine/>
    <w:uiPriority w:val="39"/>
    <w:unhideWhenUsed/>
    <w:rsid w:val="006B4E8B"/>
    <w:pPr>
      <w:spacing w:after="100"/>
      <w:ind w:left="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4.safelinks.protection.outlook.com/?url=https%3A%2F%2Fsamsik.dk%2Fwp-content%2Fuploads%2F2025%2F08%2FVejledning-til-implementering-af-cybersikkerhedsforanstaltninger.pdf&amp;data=05%7C02%7C%7C6ebdd2e4dc1541a7892e08de6f87a382%7Ceac6a575b1c346419c0c5dc5f84f57c6%7C0%7C0%7C639070825778357614%7CUnknown%7CTWFpbGZsb3d8eyJFbXB0eU1hcGkiOnRydWUsIlYiOiIwLjAuMDAwMCIsIlAiOiJXaW4zMiIsIkFOIjoiTWFpbCIsIldUIjoyfQ%3D%3D%7C0%7C%7C%7C&amp;sdata=v2Pmmb5%2FPfPPFs2s73TdeB2LDSRrg8CuH9F2x%2FxyfDw%3D&amp;reserved=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ANVA">
      <a:dk1>
        <a:sysClr val="windowText" lastClr="000000"/>
      </a:dk1>
      <a:lt1>
        <a:sysClr val="window" lastClr="FFFFFF"/>
      </a:lt1>
      <a:dk2>
        <a:srgbClr val="1F497D"/>
      </a:dk2>
      <a:lt2>
        <a:srgbClr val="938953"/>
      </a:lt2>
      <a:accent1>
        <a:srgbClr val="1F497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905fab-6916-497b-9ff3-434de14b7d0f">
      <Terms xmlns="http://schemas.microsoft.com/office/infopath/2007/PartnerControls"/>
    </lcf76f155ced4ddcb4097134ff3c332f>
    <Danva_Dokumenttype xmlns="85439af3-7d87-4228-a591-9885807d76d2" xsi:nil="true"/>
    <TaxCatchAll xmlns="85439af3-7d87-4228-a591-9885807d76d2" xsi:nil="true"/>
    <Danva_Emneord xmlns="85439af3-7d87-4228-a591-9885807d76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anva documents" ma:contentTypeID="0x010100F9F046C646232343B204C0CD166226FD00551A61983EAF954F9F28DD595049E091" ma:contentTypeVersion="20" ma:contentTypeDescription="Create a new document." ma:contentTypeScope="" ma:versionID="9b54f9a4c79a3e0eaf179603420efe53">
  <xsd:schema xmlns:xsd="http://www.w3.org/2001/XMLSchema" xmlns:xs="http://www.w3.org/2001/XMLSchema" xmlns:p="http://schemas.microsoft.com/office/2006/metadata/properties" xmlns:ns2="85439af3-7d87-4228-a591-9885807d76d2" xmlns:ns3="7b905fab-6916-497b-9ff3-434de14b7d0f" targetNamespace="http://schemas.microsoft.com/office/2006/metadata/properties" ma:root="true" ma:fieldsID="9528110095aaffca8e7ea7e12f60c6c4" ns2:_="" ns3:_="">
    <xsd:import namespace="85439af3-7d87-4228-a591-9885807d76d2"/>
    <xsd:import namespace="7b905fab-6916-497b-9ff3-434de14b7d0f"/>
    <xsd:element name="properties">
      <xsd:complexType>
        <xsd:sequence>
          <xsd:element name="documentManagement">
            <xsd:complexType>
              <xsd:all>
                <xsd:element ref="ns2:Danva_Emneord" minOccurs="0"/>
                <xsd:element ref="ns2:Danva_Dokumenttype"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CR" minOccurs="0"/>
                <xsd:element ref="ns2:SharedWithUsers" minOccurs="0"/>
                <xsd:element ref="ns2:SharedWithDetails"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39af3-7d87-4228-a591-9885807d76d2" elementFormDefault="qualified">
    <xsd:import namespace="http://schemas.microsoft.com/office/2006/documentManagement/types"/>
    <xsd:import namespace="http://schemas.microsoft.com/office/infopath/2007/PartnerControls"/>
    <xsd:element name="Danva_Emneord" ma:index="8" nillable="true" ma:displayName="Danva Emneord" ma:default="" ma:internalName="Danva_x0020_Emneord">
      <xsd:complexType>
        <xsd:complexContent>
          <xsd:extension base="dms:MultiChoice">
            <xsd:sequence>
              <xsd:element name="Value" maxOccurs="unbounded" minOccurs="0" nillable="true">
                <xsd:simpleType>
                  <xsd:restriction base="dms:Choice">
                    <xsd:enumeration value="Grundvand"/>
                    <xsd:enumeration value="Drikkevand"/>
                    <xsd:enumeration value="Spildevand"/>
                    <xsd:enumeration value="Afløb"/>
                    <xsd:enumeration value="Lovgivning"/>
                    <xsd:enumeration value="Innovation"/>
                    <xsd:enumeration value="Internationalt samarbejde"/>
                    <xsd:enumeration value="Klima"/>
                    <xsd:enumeration value="Klimatilpasning"/>
                    <xsd:enumeration value="Samarbejdspartnere"/>
                    <xsd:enumeration value="Administration"/>
                  </xsd:restriction>
                </xsd:simpleType>
              </xsd:element>
            </xsd:sequence>
          </xsd:extension>
        </xsd:complexContent>
      </xsd:complexType>
    </xsd:element>
    <xsd:element name="Danva_Dokumenttype" ma:index="9" nillable="true" ma:displayName="Dokumenttype" ma:default="" ma:format="Dropdown" ma:internalName="Danva_x0020_Dokumenttype">
      <xsd:simpleType>
        <xsd:restriction base="dms:Choice">
          <xsd:enumeration value="ATR skema – budgetændring"/>
          <xsd:enumeration value="ATR skema"/>
          <xsd:enumeration value="Bilag"/>
          <xsd:enumeration value="Brev/E-mail"/>
          <xsd:enumeration value="Dagsorden/referat"/>
          <xsd:enumeration value="Drøftelse ved møder"/>
          <xsd:enumeration value="DANVA Flyer"/>
          <xsd:enumeration value="Indstilling til beslutning"/>
          <xsd:enumeration value="Memo"/>
          <xsd:enumeration value="Mundtlig orientering"/>
          <xsd:enumeration value="Notat"/>
          <xsd:enumeration value="Procedurebeskrivelse"/>
          <xsd:enumeration value="Rapport"/>
          <xsd:enumeration value="Pjecer"/>
          <xsd:enumeration value="Foldere"/>
          <xsd:enumeration value="Artikel"/>
          <xsd:enumeration value="Pressemeddelelse"/>
          <xsd:enumeration value="Skriftlig orientering"/>
          <xsd:enumeration value="Vejledning"/>
          <xsd:enumeration value="Kontrakter"/>
          <xsd:enumeration value="PowerPoints"/>
        </xsd:restriction>
      </xsd:simpleType>
    </xsd:element>
    <xsd:element name="TaxCatchAll" ma:index="19" nillable="true" ma:displayName="Taxonomy Catch All Column" ma:hidden="true" ma:list="{25629e5a-6a54-47fb-b70d-ad0881dc3570}" ma:internalName="TaxCatchAll" ma:showField="CatchAllData" ma:web="85439af3-7d87-4228-a591-9885807d76d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905fab-6916-497b-9ff3-434de14b7d0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3bc99448-09c4-4342-852c-a67baaffca3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5489D1-D47F-4A0D-9117-176B29F97C6B}">
  <ds:schemaRefs>
    <ds:schemaRef ds:uri="http://schemas.openxmlformats.org/officeDocument/2006/bibliography"/>
  </ds:schemaRefs>
</ds:datastoreItem>
</file>

<file path=customXml/itemProps2.xml><?xml version="1.0" encoding="utf-8"?>
<ds:datastoreItem xmlns:ds="http://schemas.openxmlformats.org/officeDocument/2006/customXml" ds:itemID="{71E7A11A-17C9-453D-BA13-33D5655D53C0}">
  <ds:schemaRefs>
    <ds:schemaRef ds:uri="http://schemas.microsoft.com/office/2006/metadata/properties"/>
    <ds:schemaRef ds:uri="http://schemas.microsoft.com/office/infopath/2007/PartnerControls"/>
    <ds:schemaRef ds:uri="7b905fab-6916-497b-9ff3-434de14b7d0f"/>
    <ds:schemaRef ds:uri="85439af3-7d87-4228-a591-9885807d76d2"/>
  </ds:schemaRefs>
</ds:datastoreItem>
</file>

<file path=customXml/itemProps3.xml><?xml version="1.0" encoding="utf-8"?>
<ds:datastoreItem xmlns:ds="http://schemas.openxmlformats.org/officeDocument/2006/customXml" ds:itemID="{E4CB6AAF-0D2E-4DFE-9396-2B8CD5294265}">
  <ds:schemaRefs>
    <ds:schemaRef ds:uri="http://schemas.microsoft.com/sharepoint/v3/contenttype/forms"/>
  </ds:schemaRefs>
</ds:datastoreItem>
</file>

<file path=customXml/itemProps4.xml><?xml version="1.0" encoding="utf-8"?>
<ds:datastoreItem xmlns:ds="http://schemas.openxmlformats.org/officeDocument/2006/customXml" ds:itemID="{47BF01EC-0F46-4FEF-9F32-690FC445E466}"/>
</file>

<file path=docMetadata/LabelInfo.xml><?xml version="1.0" encoding="utf-8"?>
<clbl:labelList xmlns:clbl="http://schemas.microsoft.com/office/2020/mipLabelMetadata">
  <clbl:label id="{eac6a575-b1c3-4641-9c0c-5dc5f84f57c6}" enabled="0" method="" siteId="{eac6a575-b1c3-4641-9c0c-5dc5f84f57c6}" removed="1"/>
</clbl:labelList>
</file>

<file path=docProps/app.xml><?xml version="1.0" encoding="utf-8"?>
<Properties xmlns="http://schemas.openxmlformats.org/officeDocument/2006/extended-properties" xmlns:vt="http://schemas.openxmlformats.org/officeDocument/2006/docPropsVTypes">
  <Template>Normal.dotm</Template>
  <TotalTime>32</TotalTime>
  <Pages>7</Pages>
  <Words>3285</Words>
  <Characters>20045</Characters>
  <Application>Microsoft Office Word</Application>
  <DocSecurity>0</DocSecurity>
  <Lines>167</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Larsen</dc:creator>
  <cp:lastModifiedBy>Carsten Vejergang Haugaard-Christensen</cp:lastModifiedBy>
  <cp:revision>41</cp:revision>
  <dcterms:created xsi:type="dcterms:W3CDTF">2026-05-07T08:07:00Z</dcterms:created>
  <dcterms:modified xsi:type="dcterms:W3CDTF">2026-05-07T09:05:00Z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0x010100F9F046C646232343B204C0CD166226FD00551A61983EAF954F9F28DD595049E091</vt:lpwstr>
  </property>
  <property fmtid="{D5CDD505-2E9C-101B-9397-08002B2CF9AE}" pid="3" name="MediaServiceImageTags">
    <vt:lpwstr/>
  </property>
</Properties>
</file>