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2"/>
        <w:gridCol w:w="5151"/>
        <w:gridCol w:w="3752"/>
      </w:tblGrid>
      <w:tr w:rsidR="005A47B2" w14:paraId="45DD2A4B" w14:textId="77777777" w:rsidTr="00132893">
        <w:trPr>
          <w:trHeight w:hRule="exact" w:val="680"/>
        </w:trPr>
        <w:tc>
          <w:tcPr>
            <w:tcW w:w="6453" w:type="dxa"/>
            <w:gridSpan w:val="2"/>
            <w:tcBorders>
              <w:bottom w:val="single" w:sz="4" w:space="0" w:color="auto"/>
            </w:tcBorders>
            <w:tcMar>
              <w:bottom w:w="170" w:type="dxa"/>
            </w:tcMar>
            <w:vAlign w:val="bottom"/>
          </w:tcPr>
          <w:p w14:paraId="65E48CFA" w14:textId="77777777" w:rsidR="005A47B2" w:rsidRDefault="00132893" w:rsidP="00132893">
            <w:pPr>
              <w:pStyle w:val="Dokumenttitel"/>
            </w:pPr>
            <w:r>
              <w:t>Notat</w:t>
            </w:r>
          </w:p>
        </w:tc>
        <w:tc>
          <w:tcPr>
            <w:tcW w:w="3752" w:type="dxa"/>
            <w:tcBorders>
              <w:bottom w:val="single" w:sz="4" w:space="0" w:color="auto"/>
            </w:tcBorders>
            <w:tcMar>
              <w:bottom w:w="170" w:type="dxa"/>
            </w:tcMar>
            <w:vAlign w:val="bottom"/>
          </w:tcPr>
          <w:p w14:paraId="0C014CF5" w14:textId="101F26AE" w:rsidR="00132893" w:rsidRDefault="00132893" w:rsidP="00132893">
            <w:pPr>
              <w:jc w:val="right"/>
            </w:pPr>
            <w:r w:rsidRPr="00411D15">
              <w:rPr>
                <w:rStyle w:val="Labels"/>
              </w:rPr>
              <w:t>DATO:</w:t>
            </w:r>
            <w:r>
              <w:t xml:space="preserve"> </w:t>
            </w:r>
            <w:r>
              <w:fldChar w:fldCharType="begin"/>
            </w:r>
            <w:r>
              <w:instrText xml:space="preserve"> CREATEDATE  \@ "dd. MMMM yyyy"  </w:instrText>
            </w:r>
            <w:r>
              <w:fldChar w:fldCharType="separate"/>
            </w:r>
            <w:r w:rsidR="003B3CD5">
              <w:rPr>
                <w:noProof/>
              </w:rPr>
              <w:t>9</w:t>
            </w:r>
            <w:r w:rsidR="00BE1A54">
              <w:rPr>
                <w:noProof/>
              </w:rPr>
              <w:t xml:space="preserve">. </w:t>
            </w:r>
            <w:r w:rsidR="003B3CD5">
              <w:rPr>
                <w:noProof/>
              </w:rPr>
              <w:t>juni</w:t>
            </w:r>
            <w:r w:rsidR="00BE1A54">
              <w:rPr>
                <w:noProof/>
              </w:rPr>
              <w:t xml:space="preserve"> 2026</w:t>
            </w:r>
            <w:r>
              <w:fldChar w:fldCharType="end"/>
            </w:r>
          </w:p>
          <w:p w14:paraId="28F20954" w14:textId="52270DFC" w:rsidR="00132893" w:rsidRDefault="00132893" w:rsidP="00132893">
            <w:pPr>
              <w:jc w:val="right"/>
            </w:pPr>
            <w:r w:rsidRPr="00411D15">
              <w:rPr>
                <w:rStyle w:val="Labels"/>
              </w:rPr>
              <w:t>PROJEKTNR.:</w:t>
            </w:r>
            <w:r>
              <w:t xml:space="preserve"> </w:t>
            </w:r>
            <w:r w:rsidR="00BE1A54">
              <w:t>4015</w:t>
            </w:r>
          </w:p>
          <w:p w14:paraId="685CA970" w14:textId="6304C40A" w:rsidR="005A47B2" w:rsidRDefault="00FD36D0" w:rsidP="00132893">
            <w:pPr>
              <w:jc w:val="right"/>
            </w:pPr>
            <w:proofErr w:type="spellStart"/>
            <w:r>
              <w:t>hsa</w:t>
            </w:r>
            <w:proofErr w:type="spellEnd"/>
            <w:r w:rsidR="00132893">
              <w:t>/</w:t>
            </w:r>
            <w:r>
              <w:rPr>
                <w:rFonts w:cs="Times New Roman"/>
                <w:caps/>
              </w:rPr>
              <w:t>HSA</w:t>
            </w:r>
          </w:p>
        </w:tc>
      </w:tr>
      <w:tr w:rsidR="00B57F80" w14:paraId="63F63752" w14:textId="77777777" w:rsidTr="007C229A">
        <w:trPr>
          <w:trHeight w:hRule="exact" w:val="737"/>
        </w:trPr>
        <w:tc>
          <w:tcPr>
            <w:tcW w:w="6453" w:type="dxa"/>
            <w:gridSpan w:val="2"/>
            <w:tcBorders>
              <w:top w:val="single" w:sz="4" w:space="0" w:color="auto"/>
            </w:tcBorders>
            <w:tcMar>
              <w:top w:w="737" w:type="dxa"/>
            </w:tcMar>
          </w:tcPr>
          <w:p w14:paraId="50AC5BB5" w14:textId="77777777" w:rsidR="00B57F80" w:rsidRDefault="00B57F80" w:rsidP="00B57F80">
            <w:pPr>
              <w:spacing w:after="120"/>
              <w:rPr>
                <w:rStyle w:val="Labels"/>
              </w:rPr>
            </w:pPr>
          </w:p>
        </w:tc>
        <w:tc>
          <w:tcPr>
            <w:tcW w:w="3752" w:type="dxa"/>
            <w:tcBorders>
              <w:top w:val="single" w:sz="4" w:space="0" w:color="auto"/>
            </w:tcBorders>
            <w:tcMar>
              <w:top w:w="737" w:type="dxa"/>
            </w:tcMar>
          </w:tcPr>
          <w:p w14:paraId="7F470E22" w14:textId="77777777" w:rsidR="00B57F80" w:rsidRPr="00411D15" w:rsidRDefault="00B57F80" w:rsidP="00B57F80">
            <w:pPr>
              <w:jc w:val="right"/>
              <w:rPr>
                <w:rStyle w:val="Labels"/>
              </w:rPr>
            </w:pPr>
          </w:p>
        </w:tc>
      </w:tr>
      <w:tr w:rsidR="00446D38" w14:paraId="2745BC40" w14:textId="77777777" w:rsidTr="00446D38">
        <w:tc>
          <w:tcPr>
            <w:tcW w:w="1302" w:type="dxa"/>
            <w:tcMar>
              <w:top w:w="0" w:type="dxa"/>
            </w:tcMar>
          </w:tcPr>
          <w:p w14:paraId="77B52020" w14:textId="77777777" w:rsidR="00446D38" w:rsidRPr="00446D38" w:rsidRDefault="00446D38" w:rsidP="00446D38">
            <w:pPr>
              <w:pStyle w:val="Overskrift1"/>
            </w:pPr>
            <w:bookmarkStart w:id="0" w:name="Titel" w:colFirst="1" w:colLast="1"/>
            <w:r w:rsidRPr="00446D38">
              <w:t>Vedr</w:t>
            </w:r>
            <w:r>
              <w:t>.:</w:t>
            </w:r>
          </w:p>
        </w:tc>
        <w:tc>
          <w:tcPr>
            <w:tcW w:w="8903" w:type="dxa"/>
            <w:gridSpan w:val="2"/>
          </w:tcPr>
          <w:p w14:paraId="7A9E5592" w14:textId="48919345" w:rsidR="00446D38" w:rsidRPr="00411D15" w:rsidRDefault="00444F50" w:rsidP="007C229A">
            <w:pPr>
              <w:pStyle w:val="Overskrift1"/>
              <w:rPr>
                <w:rStyle w:val="Labels"/>
              </w:rPr>
            </w:pPr>
            <w:r>
              <w:rPr>
                <w:noProof/>
              </w:rPr>
              <w:t>Spildevandsselskabernes involvering i spildevandsplanlægningen.</w:t>
            </w:r>
            <w:r w:rsidRPr="00411D15">
              <w:rPr>
                <w:rStyle w:val="Labels"/>
              </w:rPr>
              <w:t xml:space="preserve"> </w:t>
            </w:r>
          </w:p>
        </w:tc>
      </w:tr>
      <w:bookmarkEnd w:id="0"/>
    </w:tbl>
    <w:p w14:paraId="6DC4C1F3" w14:textId="77777777" w:rsidR="00486A34" w:rsidRDefault="00486A34" w:rsidP="00CE50DF"/>
    <w:p w14:paraId="69211FFD" w14:textId="367772B6" w:rsidR="00911092" w:rsidRDefault="00486A34" w:rsidP="004B2C81">
      <w:r>
        <w:t xml:space="preserve">Vandselskabet er i henhold til Miljøbeskyttelseslovens </w:t>
      </w:r>
      <w:r w:rsidR="00A77A09">
        <w:t xml:space="preserve">(MBL) </w:t>
      </w:r>
      <w:r>
        <w:t xml:space="preserve">§ 32 a forpligtede til at levere oplysninger til brug for kommunens udarbejdelse af spildevandsplanen. Men samtidig er </w:t>
      </w:r>
      <w:r w:rsidRPr="00486A34">
        <w:t xml:space="preserve">”Teknisk bistand” til ejerkommunens udarbejdelse af kommunale vandforsyningsplaner og spildevandsplaner” </w:t>
      </w:r>
      <w:r>
        <w:t xml:space="preserve">en </w:t>
      </w:r>
      <w:r w:rsidRPr="00486A34">
        <w:t>tilknyttet virksomhed</w:t>
      </w:r>
      <w:r>
        <w:t xml:space="preserve">. </w:t>
      </w:r>
      <w:r w:rsidR="00911092">
        <w:t xml:space="preserve">Vandselskaber og kommuner skal således balancere </w:t>
      </w:r>
      <w:r w:rsidR="00A306D3">
        <w:t xml:space="preserve">herimellem i </w:t>
      </w:r>
      <w:r w:rsidR="00911092">
        <w:t>samarbejdet</w:t>
      </w:r>
      <w:r w:rsidR="00E3310B">
        <w:t>.</w:t>
      </w:r>
      <w:r w:rsidR="00A306D3">
        <w:t xml:space="preserve"> </w:t>
      </w:r>
    </w:p>
    <w:p w14:paraId="26A177B7" w14:textId="77777777" w:rsidR="00911092" w:rsidRDefault="00911092" w:rsidP="004B2C81"/>
    <w:p w14:paraId="1A92097F" w14:textId="39D0C4DF" w:rsidR="004B2C81" w:rsidRDefault="00911092" w:rsidP="004B2C81">
      <w:r>
        <w:t xml:space="preserve">En nylig afgørelse </w:t>
      </w:r>
      <w:r w:rsidR="004075F5">
        <w:t xml:space="preserve">fra </w:t>
      </w:r>
      <w:r w:rsidR="004B2C81">
        <w:t xml:space="preserve">Vandsektortilsynet </w:t>
      </w:r>
      <w:r>
        <w:t>viser</w:t>
      </w:r>
      <w:r w:rsidR="007C3E7F">
        <w:t>,</w:t>
      </w:r>
      <w:r>
        <w:t xml:space="preserve"> </w:t>
      </w:r>
      <w:r w:rsidR="004075F5">
        <w:t xml:space="preserve">at der er grund til at være skarp </w:t>
      </w:r>
      <w:r w:rsidR="007E4D26">
        <w:t xml:space="preserve">i forhold til </w:t>
      </w:r>
      <w:r w:rsidR="004075F5">
        <w:t>balancen omkring samarbejdet. I denne stoplovsafgørelse har Vandsektortilsynet således fundet</w:t>
      </w:r>
      <w:r w:rsidR="00E5031B">
        <w:t>,</w:t>
      </w:r>
      <w:r w:rsidR="004B2C81">
        <w:t xml:space="preserve"> </w:t>
      </w:r>
      <w:r w:rsidR="004075F5">
        <w:t>a</w:t>
      </w:r>
      <w:r w:rsidR="004B2C81">
        <w:t xml:space="preserve">t kommunen </w:t>
      </w:r>
      <w:r w:rsidR="004075F5">
        <w:t>havde modtage</w:t>
      </w:r>
      <w:r w:rsidR="00E5031B">
        <w:t>t</w:t>
      </w:r>
      <w:r w:rsidR="004075F5">
        <w:t xml:space="preserve"> en</w:t>
      </w:r>
      <w:r w:rsidR="004B2C81">
        <w:t xml:space="preserve"> uddeling på </w:t>
      </w:r>
      <w:r w:rsidR="00E5031B">
        <w:t xml:space="preserve">kr. </w:t>
      </w:r>
      <w:r w:rsidR="004B2C81">
        <w:t>622.500 fra kommunens vandselskab i forbindelse med spildevandsplanlægning</w:t>
      </w:r>
      <w:r w:rsidR="00637049">
        <w:t>en</w:t>
      </w:r>
      <w:r w:rsidR="004075F5">
        <w:rPr>
          <w:rStyle w:val="Fodnotehenvisning"/>
        </w:rPr>
        <w:footnoteReference w:id="1"/>
      </w:r>
      <w:r w:rsidR="004B2C81">
        <w:t>.</w:t>
      </w:r>
      <w:r w:rsidR="00984131">
        <w:t xml:space="preserve"> </w:t>
      </w:r>
    </w:p>
    <w:p w14:paraId="6136775E" w14:textId="6F831EA8" w:rsidR="00486A34" w:rsidRDefault="00486A34" w:rsidP="00486A34"/>
    <w:p w14:paraId="49165AEC" w14:textId="3200A0DA" w:rsidR="00486A34" w:rsidRDefault="004075F5" w:rsidP="00486A34">
      <w:r>
        <w:t xml:space="preserve">DANVA har på baggrund heraf udarbejdet nærværende notat </w:t>
      </w:r>
      <w:r w:rsidR="0067440A">
        <w:t>om, hvorledes vandselskabernes</w:t>
      </w:r>
      <w:r w:rsidR="00444F50">
        <w:t xml:space="preserve"> involvering i </w:t>
      </w:r>
      <w:r w:rsidR="0067440A">
        <w:t xml:space="preserve">spildevandsplanlægning efter vores bedste vurdering </w:t>
      </w:r>
      <w:r w:rsidR="00444F50">
        <w:t>kan rubriceres.</w:t>
      </w:r>
    </w:p>
    <w:p w14:paraId="34898A55" w14:textId="77777777" w:rsidR="00A77A09" w:rsidRDefault="00A77A09" w:rsidP="00486A34"/>
    <w:p w14:paraId="7DEB1B4B" w14:textId="7D45CFCE" w:rsidR="00A77A09" w:rsidRPr="00A77A09" w:rsidRDefault="00A77A09" w:rsidP="00486A34">
      <w:pPr>
        <w:rPr>
          <w:b/>
          <w:bCs/>
        </w:rPr>
      </w:pPr>
      <w:r w:rsidRPr="00A77A09">
        <w:rPr>
          <w:b/>
          <w:bCs/>
        </w:rPr>
        <w:t xml:space="preserve">MBL § </w:t>
      </w:r>
      <w:r w:rsidR="00082EB2">
        <w:rPr>
          <w:b/>
          <w:bCs/>
        </w:rPr>
        <w:t>32 a</w:t>
      </w:r>
      <w:r w:rsidRPr="00A77A09">
        <w:rPr>
          <w:b/>
          <w:bCs/>
        </w:rPr>
        <w:t>.</w:t>
      </w:r>
    </w:p>
    <w:p w14:paraId="56843D16" w14:textId="77777777" w:rsidR="00486A34" w:rsidRDefault="00486A34" w:rsidP="00486A34"/>
    <w:p w14:paraId="6E27AA79" w14:textId="5098DF63" w:rsidR="00486A34" w:rsidRDefault="00A77A09" w:rsidP="00486A34">
      <w:r w:rsidRPr="00A77A09">
        <w:t xml:space="preserve">Vandselskabet er i henhold til MBL § </w:t>
      </w:r>
      <w:r w:rsidR="00082EB2">
        <w:t>32 a</w:t>
      </w:r>
      <w:r w:rsidRPr="00A77A09">
        <w:t xml:space="preserve"> forpligtede til at levere oplysninger til brug for kommunens udarbejdelse af spildevandsplanen</w:t>
      </w:r>
      <w:r>
        <w:t>.</w:t>
      </w:r>
      <w:r w:rsidRPr="00A77A09">
        <w:t xml:space="preserve"> </w:t>
      </w:r>
      <w:r w:rsidR="00486A34">
        <w:t>Bestemmelsen kom med adskillelsen af myndighed og drift i den første vandsektorlov fra 2009 (når spildevandsforsyningen ikke længere var en del af den kommunale forvaltning</w:t>
      </w:r>
      <w:r w:rsidR="00E5031B">
        <w:t>,</w:t>
      </w:r>
      <w:r w:rsidR="00486A34">
        <w:t xml:space="preserve"> var der brug for en hjemmel til</w:t>
      </w:r>
      <w:r w:rsidR="00E5031B">
        <w:t>,</w:t>
      </w:r>
      <w:r w:rsidR="00486A34">
        <w:t xml:space="preserve"> at kommunen kunne indhente oplysninger). Oprindeligt var bestemmelsen at finde i MBL § 32 stk. 2, men den blev i 2012 flyttet til § 32 a.  </w:t>
      </w:r>
    </w:p>
    <w:p w14:paraId="09DBDC00" w14:textId="77777777" w:rsidR="00A77A09" w:rsidRDefault="00A77A09" w:rsidP="00486A34"/>
    <w:p w14:paraId="33BED15A" w14:textId="77777777" w:rsidR="00A77A09" w:rsidRPr="00A77A09" w:rsidRDefault="00A77A09" w:rsidP="00A77A09">
      <w:r w:rsidRPr="00A77A09">
        <w:t xml:space="preserve">I lovbemærkningerne i forbindelse med indførelsen af bestemmelsen fremgik følgende om bestemmelsens anvendelsesområde. </w:t>
      </w:r>
    </w:p>
    <w:p w14:paraId="558D7C89" w14:textId="77777777" w:rsidR="00A77A09" w:rsidRDefault="00A77A09" w:rsidP="00A77A09">
      <w:pPr>
        <w:rPr>
          <w:i/>
          <w:iCs/>
        </w:rPr>
      </w:pPr>
    </w:p>
    <w:p w14:paraId="3A722F01" w14:textId="191D6BF7" w:rsidR="00A77A09" w:rsidRPr="00A77A09" w:rsidRDefault="00A77A09" w:rsidP="00A77A09">
      <w:pPr>
        <w:rPr>
          <w:i/>
          <w:iCs/>
          <w:u w:val="single"/>
        </w:rPr>
      </w:pPr>
      <w:r w:rsidRPr="00A77A09">
        <w:rPr>
          <w:i/>
          <w:iCs/>
        </w:rPr>
        <w:t xml:space="preserve">Bestemmelsen vil kunne anvendes af kommunen til at indhente </w:t>
      </w:r>
      <w:r w:rsidRPr="00A77A09">
        <w:rPr>
          <w:i/>
          <w:iCs/>
          <w:u w:val="single"/>
        </w:rPr>
        <w:t>oplysninger</w:t>
      </w:r>
      <w:r w:rsidRPr="00A77A09">
        <w:rPr>
          <w:i/>
          <w:iCs/>
        </w:rPr>
        <w:t xml:space="preserve"> fra spildevandsforsyningsselskabet, som kommunen ikke selv er i besiddelse af men </w:t>
      </w:r>
      <w:r w:rsidRPr="00A77A09">
        <w:rPr>
          <w:i/>
          <w:iCs/>
          <w:u w:val="single"/>
        </w:rPr>
        <w:t>som, jf. miljøbeskyttelseslovens § 32, stk. 1, og kapitel 3 i bekendtgørelse om spildevandstilladelser m.v. efter miljøbeskyttelseslovens kapitel 3 og 4, skal indgå i kommunens spildevandsplan.</w:t>
      </w:r>
    </w:p>
    <w:p w14:paraId="4BB3865D" w14:textId="77777777" w:rsidR="00A77A09" w:rsidRDefault="00A77A09" w:rsidP="00A77A09"/>
    <w:p w14:paraId="498213E0" w14:textId="6F87E6F0" w:rsidR="00A77A09" w:rsidRPr="00A77A09" w:rsidRDefault="00A77A09" w:rsidP="00A77A09">
      <w:r w:rsidRPr="00A77A09">
        <w:t>(min fremhævning)</w:t>
      </w:r>
    </w:p>
    <w:p w14:paraId="1247F90C" w14:textId="77777777" w:rsidR="00A77A09" w:rsidRDefault="00A77A09" w:rsidP="00A77A09"/>
    <w:p w14:paraId="1E416267" w14:textId="2FEF8181" w:rsidR="00A77A09" w:rsidRPr="00A77A09" w:rsidRDefault="00A77A09" w:rsidP="00A77A09">
      <w:r w:rsidRPr="00A77A09">
        <w:t xml:space="preserve">For fuldstændighedens skyld, så blev detailreguleringen af spildevandsplanens indhold i 2016 flyttet fra MBL § 32 stk. 1 til spildevandsbekendtgørelsen. </w:t>
      </w:r>
    </w:p>
    <w:p w14:paraId="5DD8A26D" w14:textId="77777777" w:rsidR="00A77A09" w:rsidRDefault="00A77A09" w:rsidP="00A77A09"/>
    <w:p w14:paraId="4D68BDB8" w14:textId="6E2A0A43" w:rsidR="00A77A09" w:rsidRPr="00A77A09" w:rsidRDefault="00A77A09" w:rsidP="00A77A09">
      <w:r w:rsidRPr="00A77A09">
        <w:t xml:space="preserve">Da bestemmelsen blev ændret i 2012, indeholdt lovbemærkningerne følgende passus: </w:t>
      </w:r>
    </w:p>
    <w:p w14:paraId="1E8A9F5E" w14:textId="77777777" w:rsidR="00E5031B" w:rsidRDefault="00E5031B" w:rsidP="00A77A09">
      <w:pPr>
        <w:rPr>
          <w:i/>
          <w:iCs/>
        </w:rPr>
      </w:pPr>
    </w:p>
    <w:p w14:paraId="46430D71" w14:textId="1D13E025" w:rsidR="00A77A09" w:rsidRPr="00A77A09" w:rsidRDefault="00A77A09" w:rsidP="00A77A09">
      <w:pPr>
        <w:rPr>
          <w:i/>
          <w:iCs/>
          <w:u w:val="single"/>
        </w:rPr>
      </w:pPr>
      <w:r w:rsidRPr="00A77A09">
        <w:rPr>
          <w:i/>
          <w:iCs/>
        </w:rPr>
        <w:t xml:space="preserve">Med forslaget til § 32 a, stk. 1, foreslås det at flytte den eksisterende § 32, stk. 2, til den nye § 32 a, stk. 1. Der tilsigtes ikke indholdsmæssige ændringer i den nye § 32 a, stk. 1, set i forhold til den i dag gældende § 32, stk. 2, der vedrører oplysninger, der alene er til brug for </w:t>
      </w:r>
      <w:r w:rsidRPr="00A77A09">
        <w:rPr>
          <w:i/>
          <w:iCs/>
        </w:rPr>
        <w:lastRenderedPageBreak/>
        <w:t xml:space="preserve">udarbejdelse af en spildevandsplan. </w:t>
      </w:r>
      <w:r w:rsidRPr="00A77A09">
        <w:rPr>
          <w:i/>
          <w:iCs/>
          <w:u w:val="single"/>
        </w:rPr>
        <w:t>Den foreslåede § 32 a, stk. 1, vedrører således fortsat alene udlevering af oplysninger, som spildevandsforsyningsselskabet er i besiddelse af.</w:t>
      </w:r>
    </w:p>
    <w:p w14:paraId="47E9CDC5" w14:textId="77777777" w:rsidR="00A77A09" w:rsidRDefault="00A77A09" w:rsidP="00A77A09"/>
    <w:p w14:paraId="15677A7A" w14:textId="5ADC13A0" w:rsidR="00A77A09" w:rsidRPr="00A77A09" w:rsidRDefault="00A77A09" w:rsidP="00A77A09">
      <w:r w:rsidRPr="00A77A09">
        <w:t>(min fremhævning)</w:t>
      </w:r>
    </w:p>
    <w:p w14:paraId="62727CF7" w14:textId="77777777" w:rsidR="00A77A09" w:rsidRDefault="00A77A09" w:rsidP="00A77A09"/>
    <w:p w14:paraId="69FB4AF4" w14:textId="15A4DD19" w:rsidR="001D65BA" w:rsidRDefault="00A77A09" w:rsidP="00A77A09">
      <w:r w:rsidRPr="00A77A09">
        <w:t>Det er derfor sikkert</w:t>
      </w:r>
      <w:r w:rsidR="007C3E7F">
        <w:t>,</w:t>
      </w:r>
      <w:r w:rsidRPr="00A77A09">
        <w:t xml:space="preserve"> at oplysninger som selskabet ligger inde med og som falder indenfor det, der skal indgå i spildevandsplanen, er omfattet af MBL § </w:t>
      </w:r>
      <w:r w:rsidR="00082EB2">
        <w:t>32 a</w:t>
      </w:r>
      <w:r w:rsidRPr="00A77A09">
        <w:t xml:space="preserve">. </w:t>
      </w:r>
    </w:p>
    <w:p w14:paraId="0A2092EE" w14:textId="77777777" w:rsidR="001D65BA" w:rsidRDefault="001D65BA" w:rsidP="00A77A09"/>
    <w:p w14:paraId="3333133F" w14:textId="18C3AB1D" w:rsidR="00247CBA" w:rsidRPr="00FD36D0" w:rsidRDefault="002B606F" w:rsidP="00603347">
      <w:r w:rsidRPr="00FD36D0">
        <w:t>B</w:t>
      </w:r>
      <w:r w:rsidR="00BF0D13" w:rsidRPr="00FD36D0">
        <w:t xml:space="preserve">ekendtgørelsen om </w:t>
      </w:r>
      <w:r w:rsidR="00603347" w:rsidRPr="00FD36D0">
        <w:t>spildevandsplanen og spildevandstilladelser</w:t>
      </w:r>
      <w:r w:rsidRPr="00FD36D0">
        <w:t xml:space="preserve"> </w:t>
      </w:r>
      <w:r w:rsidR="00637049">
        <w:t xml:space="preserve">(herefter bekendtgørelsen) </w:t>
      </w:r>
      <w:r w:rsidRPr="00FD36D0">
        <w:t>indeholder de detaljerede regler om spildevandsplanens indhold.</w:t>
      </w:r>
      <w:r w:rsidRPr="00FD36D0">
        <w:rPr>
          <w:rStyle w:val="Fodnotehenvisning"/>
        </w:rPr>
        <w:footnoteReference w:id="2"/>
      </w:r>
      <w:r w:rsidRPr="00FD36D0">
        <w:t xml:space="preserve"> </w:t>
      </w:r>
      <w:r w:rsidR="00561F0E" w:rsidRPr="00FD36D0">
        <w:t xml:space="preserve">Der </w:t>
      </w:r>
      <w:r w:rsidR="00A75E8B" w:rsidRPr="00FD36D0">
        <w:t>fremgår af</w:t>
      </w:r>
      <w:r w:rsidR="00561F0E" w:rsidRPr="00FD36D0">
        <w:t xml:space="preserve"> bekendtgørelsens kapitel 3, hvorledes spildevandsplanen skal indeholde oplysninger og kortbilag om en lang række forhold. </w:t>
      </w:r>
      <w:r w:rsidR="00247CBA" w:rsidRPr="00FD36D0">
        <w:t xml:space="preserve">Nogle af disse oplysninger vil vandselskabet være i besiddelse af, og kommunen kan derfor anmode vandselskabet om disse, når kommunen ikke selv har oplysningerne. </w:t>
      </w:r>
      <w:r w:rsidR="00A77A09" w:rsidRPr="00FD36D0">
        <w:t>Oplysninger om eksisterende og planlagte fælles spildevandsanlæg og renseforanstaltninger</w:t>
      </w:r>
      <w:r w:rsidR="002A4695" w:rsidRPr="00FD36D0">
        <w:t>, placeringen af udløb og udledte mængder spildevand</w:t>
      </w:r>
      <w:r w:rsidR="005F47C1">
        <w:t xml:space="preserve"> og </w:t>
      </w:r>
      <w:r w:rsidR="005F47C1" w:rsidRPr="00FD36D0">
        <w:t xml:space="preserve">projekter om håndtering af tag- og overfladevand efter de gamle regler (før 1. januar 2021) </w:t>
      </w:r>
      <w:r w:rsidR="005F47C1">
        <w:t>samt oplysninger til brug for fastlæggelsen af</w:t>
      </w:r>
      <w:r w:rsidR="002A4695" w:rsidRPr="00FD36D0">
        <w:t xml:space="preserve"> arealer af betydning for gennemførelsen af spildevandsplanen, </w:t>
      </w:r>
      <w:r w:rsidR="005F47C1">
        <w:t xml:space="preserve">den forventede </w:t>
      </w:r>
      <w:r w:rsidR="002A4695" w:rsidRPr="00FD36D0">
        <w:t>gennemførelse</w:t>
      </w:r>
      <w:r w:rsidR="005F47C1">
        <w:t xml:space="preserve"> i de enkelte kloakeringsområder</w:t>
      </w:r>
      <w:r w:rsidR="002A4695" w:rsidRPr="00FD36D0">
        <w:t xml:space="preserve">, </w:t>
      </w:r>
      <w:r w:rsidR="002D0EC4" w:rsidRPr="00FD36D0">
        <w:t>samt</w:t>
      </w:r>
      <w:r w:rsidR="002A4695" w:rsidRPr="00FD36D0">
        <w:t xml:space="preserve"> </w:t>
      </w:r>
      <w:r w:rsidR="005F47C1">
        <w:t>de</w:t>
      </w:r>
      <w:r w:rsidR="002A4695" w:rsidRPr="00FD36D0">
        <w:t xml:space="preserve"> økonomiske konsekvenser</w:t>
      </w:r>
      <w:r w:rsidR="00A77A09" w:rsidRPr="00FD36D0">
        <w:t xml:space="preserve"> </w:t>
      </w:r>
      <w:r w:rsidR="005F47C1">
        <w:t xml:space="preserve">for vandselskabet </w:t>
      </w:r>
      <w:r w:rsidR="00A77A09" w:rsidRPr="00FD36D0">
        <w:t>af planen</w:t>
      </w:r>
      <w:r w:rsidR="002D2798" w:rsidRPr="00FD36D0">
        <w:t>s</w:t>
      </w:r>
      <w:r w:rsidR="00A77A09" w:rsidRPr="00FD36D0">
        <w:t xml:space="preserve"> gennemførelse</w:t>
      </w:r>
      <w:r w:rsidR="007F3E0D" w:rsidRPr="00FD36D0">
        <w:t xml:space="preserve"> </w:t>
      </w:r>
      <w:r w:rsidR="002D2798" w:rsidRPr="00FD36D0">
        <w:t xml:space="preserve">fremgår alle af bekendtgørelsens </w:t>
      </w:r>
      <w:r w:rsidR="00247CBA" w:rsidRPr="00FD36D0">
        <w:t>§ 4</w:t>
      </w:r>
      <w:r w:rsidR="002D2798" w:rsidRPr="00FD36D0">
        <w:t xml:space="preserve">. Derfor må vandselskabet kunne afgive sådanne oplysninger, </w:t>
      </w:r>
      <w:r w:rsidR="00BE7293">
        <w:t>når de</w:t>
      </w:r>
      <w:r w:rsidR="007C3E7F">
        <w:t>tte</w:t>
      </w:r>
      <w:r w:rsidR="002D2798" w:rsidRPr="00FD36D0">
        <w:t xml:space="preserve"> er i besiddelse </w:t>
      </w:r>
      <w:r w:rsidR="00BE7293">
        <w:t>her</w:t>
      </w:r>
      <w:r w:rsidR="002D2798" w:rsidRPr="00FD36D0">
        <w:t xml:space="preserve">af, videre til kommunen, </w:t>
      </w:r>
      <w:r w:rsidR="00BE7293">
        <w:t>hvis</w:t>
      </w:r>
      <w:r w:rsidR="002D2798" w:rsidRPr="00FD36D0">
        <w:t xml:space="preserve"> kommunen anmoder herom under MBL § </w:t>
      </w:r>
      <w:r w:rsidR="00082EB2">
        <w:t>32 a</w:t>
      </w:r>
      <w:r w:rsidR="002D2798" w:rsidRPr="00FD36D0">
        <w:t xml:space="preserve">. </w:t>
      </w:r>
    </w:p>
    <w:p w14:paraId="569DBB65" w14:textId="77777777" w:rsidR="00247CBA" w:rsidRDefault="00247CBA" w:rsidP="00603347">
      <w:pPr>
        <w:rPr>
          <w:highlight w:val="yellow"/>
        </w:rPr>
      </w:pPr>
    </w:p>
    <w:p w14:paraId="2AEEBB0A" w14:textId="25883CD9" w:rsidR="00FC32DE" w:rsidRDefault="00FC32DE" w:rsidP="00FC32DE">
      <w:r>
        <w:t xml:space="preserve">Det fremgår </w:t>
      </w:r>
      <w:r w:rsidR="00E5031B">
        <w:t>af</w:t>
      </w:r>
      <w:r>
        <w:t xml:space="preserve"> Vandsektortilsynets afgørelse fra april 2026, at det bør kunne dokumenteres</w:t>
      </w:r>
      <w:r w:rsidR="00BE7293">
        <w:t>,</w:t>
      </w:r>
      <w:r>
        <w:t xml:space="preserve"> at der er fremsendt konkrete anmodninger, </w:t>
      </w:r>
      <w:r w:rsidR="00E5031B">
        <w:t>eksemp</w:t>
      </w:r>
      <w:r w:rsidR="00243588">
        <w:t>e</w:t>
      </w:r>
      <w:r w:rsidR="00E5031B">
        <w:t>lvis</w:t>
      </w:r>
      <w:r>
        <w:t xml:space="preserve"> anmodninger om specifikke dataudtræk eller regnskabstal.</w:t>
      </w:r>
      <w:r w:rsidR="006860FB">
        <w:t xml:space="preserve"> </w:t>
      </w:r>
    </w:p>
    <w:p w14:paraId="7E283307" w14:textId="77777777" w:rsidR="0067440A" w:rsidRDefault="0067440A" w:rsidP="00486A34"/>
    <w:p w14:paraId="6CDFB4E4" w14:textId="5E3D8BA9" w:rsidR="00C25EB1" w:rsidRDefault="00C25EB1" w:rsidP="00C25EB1">
      <w:r>
        <w:t xml:space="preserve">Det fremgår </w:t>
      </w:r>
      <w:r w:rsidR="002D2798">
        <w:t xml:space="preserve">også </w:t>
      </w:r>
      <w:r w:rsidR="005F1277">
        <w:t xml:space="preserve">af </w:t>
      </w:r>
      <w:r>
        <w:t xml:space="preserve">afgørelsen fra Vandsektortilsynet, at en bearbejdning af </w:t>
      </w:r>
      <w:proofErr w:type="spellStart"/>
      <w:r>
        <w:t>rådata</w:t>
      </w:r>
      <w:proofErr w:type="spellEnd"/>
      <w:r>
        <w:t xml:space="preserve">, der rimeligvis må kunne betragtes som nødvendig bearbejdning og sikring af korrekt og effektiv overlevering af oplysninger også </w:t>
      </w:r>
      <w:r w:rsidR="00E5031B">
        <w:t>kan rummes indenfor</w:t>
      </w:r>
      <w:r>
        <w:t xml:space="preserve"> MBL § </w:t>
      </w:r>
      <w:r w:rsidR="00082EB2">
        <w:t>32 a</w:t>
      </w:r>
      <w:r>
        <w:t xml:space="preserve">.  </w:t>
      </w:r>
    </w:p>
    <w:p w14:paraId="68ED50BD" w14:textId="77777777" w:rsidR="00C25EB1" w:rsidRDefault="00C25EB1" w:rsidP="00486A34"/>
    <w:p w14:paraId="730EB953" w14:textId="769304FB" w:rsidR="00C00889" w:rsidRDefault="0067440A" w:rsidP="00486A34">
      <w:r w:rsidRPr="0067440A">
        <w:t xml:space="preserve">Der er ikke formkrav til, hvorledes spildevandsforsyningsselskabet skal overlevere data til kommunen efter MBL § </w:t>
      </w:r>
      <w:r w:rsidR="00082EB2">
        <w:t>32 a</w:t>
      </w:r>
      <w:r w:rsidRPr="0067440A">
        <w:t xml:space="preserve">. Hvis det er mest effektivt for selskabet at anvende møder i denne forbindelse frem for alene at anvende skriftlig kommunikation, </w:t>
      </w:r>
      <w:r w:rsidR="00A4695A">
        <w:t>bø</w:t>
      </w:r>
      <w:r w:rsidR="002D2798">
        <w:t>r</w:t>
      </w:r>
      <w:r w:rsidR="00A4695A">
        <w:t xml:space="preserve"> dette derfor efter </w:t>
      </w:r>
      <w:proofErr w:type="spellStart"/>
      <w:r w:rsidR="00A4695A">
        <w:t>DANVAs</w:t>
      </w:r>
      <w:proofErr w:type="spellEnd"/>
      <w:r w:rsidR="00A4695A">
        <w:t xml:space="preserve"> opfattelse være </w:t>
      </w:r>
      <w:r w:rsidRPr="0067440A">
        <w:t>muligt – dog selvfølgelig afbalanceret i forhold til formålet.</w:t>
      </w:r>
      <w:r>
        <w:t xml:space="preserve"> </w:t>
      </w:r>
      <w:r w:rsidR="002D2798">
        <w:t>I forlængelse heraf</w:t>
      </w:r>
      <w:r w:rsidR="00FC32DE">
        <w:t xml:space="preserve"> bør </w:t>
      </w:r>
      <w:r w:rsidR="002D2798">
        <w:t xml:space="preserve">det </w:t>
      </w:r>
      <w:r w:rsidR="00234D35">
        <w:t>derfor</w:t>
      </w:r>
      <w:r w:rsidR="00FC32DE">
        <w:t xml:space="preserve"> </w:t>
      </w:r>
      <w:r w:rsidR="002D2798">
        <w:t xml:space="preserve">kunne </w:t>
      </w:r>
      <w:r w:rsidR="00FC32DE">
        <w:t>dokumenteres</w:t>
      </w:r>
      <w:r w:rsidR="008E72BA">
        <w:t>/godtgøres</w:t>
      </w:r>
      <w:r w:rsidR="000166CF">
        <w:t>,</w:t>
      </w:r>
      <w:r w:rsidR="00FC32DE">
        <w:t xml:space="preserve"> </w:t>
      </w:r>
      <w:r w:rsidR="002D2798">
        <w:t>at der</w:t>
      </w:r>
      <w:r w:rsidR="00FC32DE">
        <w:t xml:space="preserve"> alene har være tale om relevante møder i forhold </w:t>
      </w:r>
      <w:r w:rsidR="00BE7293">
        <w:t xml:space="preserve">til </w:t>
      </w:r>
      <w:r w:rsidR="00FC32DE">
        <w:t>overlevering af det materiale</w:t>
      </w:r>
      <w:r w:rsidR="000166CF">
        <w:t>,</w:t>
      </w:r>
      <w:r w:rsidR="00FC32DE">
        <w:t xml:space="preserve"> som </w:t>
      </w:r>
      <w:r w:rsidR="0092783E">
        <w:t>kommunen har anmodet om</w:t>
      </w:r>
      <w:r w:rsidR="005F47C1">
        <w:t>,</w:t>
      </w:r>
      <w:r w:rsidR="0092783E">
        <w:t xml:space="preserve"> </w:t>
      </w:r>
      <w:r w:rsidR="00234D35">
        <w:t xml:space="preserve">eksempelvis ved fremlæggelse af </w:t>
      </w:r>
      <w:r w:rsidR="0092783E">
        <w:t>mødeoversigt</w:t>
      </w:r>
      <w:r w:rsidR="00BE7293">
        <w:t xml:space="preserve">, </w:t>
      </w:r>
      <w:r w:rsidR="0092783E">
        <w:t>dagsordner</w:t>
      </w:r>
      <w:r w:rsidR="00BE7293">
        <w:t>/referater</w:t>
      </w:r>
      <w:r w:rsidR="00234D35">
        <w:t>.</w:t>
      </w:r>
      <w:r w:rsidR="0092783E">
        <w:t xml:space="preserve"> </w:t>
      </w:r>
    </w:p>
    <w:p w14:paraId="4455714B" w14:textId="77777777" w:rsidR="00243588" w:rsidRDefault="00243588" w:rsidP="00486A34">
      <w:pPr>
        <w:rPr>
          <w:b/>
          <w:bCs/>
        </w:rPr>
      </w:pPr>
    </w:p>
    <w:p w14:paraId="3989B100" w14:textId="1CE81F24" w:rsidR="00A77A09" w:rsidRPr="00A77A09" w:rsidRDefault="00A77A09" w:rsidP="00486A34">
      <w:pPr>
        <w:rPr>
          <w:b/>
          <w:bCs/>
        </w:rPr>
      </w:pPr>
      <w:r w:rsidRPr="00A77A09">
        <w:rPr>
          <w:b/>
          <w:bCs/>
        </w:rPr>
        <w:t>Tilknyttet virksomhed</w:t>
      </w:r>
    </w:p>
    <w:p w14:paraId="3C8BC41F" w14:textId="77777777" w:rsidR="00A77A09" w:rsidRDefault="00A77A09" w:rsidP="00486A34"/>
    <w:p w14:paraId="3EB6BA3F" w14:textId="1BDBFAFF" w:rsidR="00486A34" w:rsidRDefault="00486A34" w:rsidP="00486A34">
      <w:r>
        <w:t>”Teknisk bistand” til ejerkommunens udarbejdelse af kommunale vandforsyningsplaner og spildevandsplaner har været tilknyttet virksomhed fra den første bekendtgørelse om tilknyttet virksomhed (fra 2010).</w:t>
      </w:r>
    </w:p>
    <w:p w14:paraId="0C678EDF" w14:textId="77777777" w:rsidR="00486A34" w:rsidRDefault="00486A34" w:rsidP="00CE50DF"/>
    <w:p w14:paraId="1D1A104D" w14:textId="6138BAD7" w:rsidR="00CE50DF" w:rsidRPr="00CE50DF" w:rsidRDefault="00CE50DF" w:rsidP="00CE50DF">
      <w:r w:rsidRPr="00CE50DF">
        <w:t xml:space="preserve">Hvis et spildevandsforsyningsselskab kunne overtage arbejdet med og dermed omkostningerne til udarbejdelsen af spildevandsplanen ville det være i strid med adskillelsen mellem myndighed og drift og den tilhørende adskillelse mellem det takstfinansierede og det skattefinansierede område. Noget sådant vil derfor klart falde udenfor MBL § </w:t>
      </w:r>
      <w:r w:rsidR="00082EB2">
        <w:t>32 a</w:t>
      </w:r>
      <w:r w:rsidRPr="00CE50DF">
        <w:t>.</w:t>
      </w:r>
    </w:p>
    <w:p w14:paraId="3AF9B3B0" w14:textId="77777777" w:rsidR="00A77A09" w:rsidRDefault="00A77A09" w:rsidP="00CE50DF"/>
    <w:p w14:paraId="1ECCB147" w14:textId="1A8519EA" w:rsidR="0074122A" w:rsidRPr="005F1277" w:rsidRDefault="0074122A" w:rsidP="00CE50DF">
      <w:r w:rsidRPr="005F1277">
        <w:t>Et vandselskabs varetagelse af rollen som projektleder eller forfatter af spildevandsplanen (ell</w:t>
      </w:r>
      <w:r w:rsidR="0067440A" w:rsidRPr="005F1277">
        <w:t>e</w:t>
      </w:r>
      <w:r w:rsidRPr="005F1277">
        <w:t xml:space="preserve">r dele heraf) må antages at falde herunder. </w:t>
      </w:r>
    </w:p>
    <w:p w14:paraId="46BD12C8" w14:textId="77777777" w:rsidR="0074122A" w:rsidRDefault="0074122A" w:rsidP="00CE50DF">
      <w:pPr>
        <w:rPr>
          <w:highlight w:val="yellow"/>
        </w:rPr>
      </w:pPr>
    </w:p>
    <w:p w14:paraId="05FFB7B5" w14:textId="5864A3E8" w:rsidR="00764279" w:rsidRDefault="001D65BA" w:rsidP="00CE50DF">
      <w:r>
        <w:lastRenderedPageBreak/>
        <w:t xml:space="preserve">Når der er tale om en tilknyttet virksomhed </w:t>
      </w:r>
      <w:r w:rsidR="005F02A6">
        <w:t>vil kravene herfor skulle opfyldes. Deraf følger</w:t>
      </w:r>
      <w:r w:rsidR="000166CF">
        <w:t>,</w:t>
      </w:r>
      <w:r w:rsidR="005F02A6">
        <w:t xml:space="preserve"> at leveringen skal ske på kommercielle vilkår</w:t>
      </w:r>
      <w:r w:rsidR="00B40879">
        <w:t>, hvorfor de</w:t>
      </w:r>
      <w:r w:rsidR="000166CF">
        <w:t>r</w:t>
      </w:r>
      <w:r w:rsidR="00B40879">
        <w:t xml:space="preserve"> </w:t>
      </w:r>
      <w:r w:rsidR="00D34688">
        <w:t>vil skulle ske betaling</w:t>
      </w:r>
      <w:r w:rsidR="00B40879">
        <w:t>,</w:t>
      </w:r>
      <w:r w:rsidR="00D34688">
        <w:t xml:space="preserve"> </w:t>
      </w:r>
      <w:r w:rsidR="00B40879">
        <w:t>idet vandselskabet</w:t>
      </w:r>
      <w:r w:rsidR="00D34688">
        <w:t xml:space="preserve"> </w:t>
      </w:r>
      <w:r w:rsidR="00B40879">
        <w:t>ikke må y</w:t>
      </w:r>
      <w:r w:rsidR="00D34688">
        <w:t xml:space="preserve">de tilskud med takstmidler </w:t>
      </w:r>
      <w:r w:rsidR="00B40879">
        <w:t xml:space="preserve">til tilknyttet virksomhed. </w:t>
      </w:r>
    </w:p>
    <w:p w14:paraId="68375C55" w14:textId="77777777" w:rsidR="00764279" w:rsidRDefault="00764279" w:rsidP="00CE50DF"/>
    <w:p w14:paraId="3D3A6123" w14:textId="27F0DCB1" w:rsidR="00A77A09" w:rsidRDefault="00FD36D0" w:rsidP="00764279">
      <w:r>
        <w:t>D</w:t>
      </w:r>
      <w:r w:rsidR="00764279">
        <w:t>et følger af vandsektorlovens § 19 stk. 4 og 5, at vandselskaber</w:t>
      </w:r>
      <w:r w:rsidR="000166CF">
        <w:t>s</w:t>
      </w:r>
      <w:r w:rsidR="00764279">
        <w:t xml:space="preserve"> aftaler skal indgås på markedsvilkår og skriftligt. Disse krav vil også skulle være opfyldt, når </w:t>
      </w:r>
      <w:r w:rsidR="00E5031B">
        <w:t>der udøves</w:t>
      </w:r>
      <w:r w:rsidR="00764279">
        <w:t xml:space="preserve"> tilknytte</w:t>
      </w:r>
      <w:r w:rsidR="000166CF">
        <w:t>t</w:t>
      </w:r>
      <w:r w:rsidR="00764279">
        <w:t xml:space="preserve"> aktivitet i vandselskabet. </w:t>
      </w:r>
      <w:r w:rsidR="00BE7293">
        <w:rPr>
          <w:rStyle w:val="Fodnotehenvisning"/>
        </w:rPr>
        <w:footnoteReference w:id="3"/>
      </w:r>
    </w:p>
    <w:p w14:paraId="1E8F4804" w14:textId="77777777" w:rsidR="00A306D3" w:rsidRDefault="00A306D3" w:rsidP="005A47B2"/>
    <w:p w14:paraId="37F8E746" w14:textId="19B65B9F" w:rsidR="004D5FFF" w:rsidRPr="005C5E36" w:rsidRDefault="00E3310B" w:rsidP="004D5FFF">
      <w:pPr>
        <w:rPr>
          <w:b/>
          <w:bCs/>
        </w:rPr>
      </w:pPr>
      <w:r>
        <w:rPr>
          <w:b/>
          <w:bCs/>
        </w:rPr>
        <w:t>Møder og oplysninger udenfor MBL § 32 og tilknyttet virksomhed</w:t>
      </w:r>
      <w:r w:rsidR="004D5FFF" w:rsidRPr="005C5E36">
        <w:rPr>
          <w:b/>
          <w:bCs/>
        </w:rPr>
        <w:t>.</w:t>
      </w:r>
    </w:p>
    <w:p w14:paraId="736F1109" w14:textId="77777777" w:rsidR="004D5FFF" w:rsidRDefault="004D5FFF" w:rsidP="004D5FFF"/>
    <w:p w14:paraId="41234057" w14:textId="5E4F2ADF" w:rsidR="008E72BA" w:rsidRDefault="004D5FFF" w:rsidP="004D5FFF">
      <w:r>
        <w:t>Ovenstående og Vandsektortilsynets afgørelser giver anledning til også at nævne MBL § 32c. Kommunalbestyrelsen er efter denne bestemmelse forpligtet til</w:t>
      </w:r>
      <w:r w:rsidRPr="00C00889">
        <w:t xml:space="preserve"> årligt </w:t>
      </w:r>
      <w:r>
        <w:t xml:space="preserve">at drøfte </w:t>
      </w:r>
      <w:r w:rsidRPr="00C00889">
        <w:t>forsyningsforholdene i kommunen med alle spildevandsforsyningsselskaber, som er omfattet af § 2, stk. 1</w:t>
      </w:r>
      <w:r>
        <w:t xml:space="preserve">. </w:t>
      </w:r>
      <w:r w:rsidRPr="00EA0959">
        <w:t xml:space="preserve">Drøftelsen vil </w:t>
      </w:r>
      <w:r>
        <w:t xml:space="preserve">ifølge lovbemærkningerne i </w:t>
      </w:r>
      <w:r w:rsidRPr="00EA0959">
        <w:t>vidt omfang kunne sammenkobles med udarbejdelse af spildevandsplaner</w:t>
      </w:r>
      <w:r>
        <w:t>. Det fremgår også, at</w:t>
      </w:r>
      <w:r w:rsidRPr="00EA0959">
        <w:t xml:space="preserve"> </w:t>
      </w:r>
      <w:r>
        <w:t>d</w:t>
      </w:r>
      <w:r w:rsidRPr="00EA0959">
        <w:t xml:space="preserve">røftelsen </w:t>
      </w:r>
      <w:r>
        <w:t>skal</w:t>
      </w:r>
      <w:r w:rsidRPr="00EA0959">
        <w:t xml:space="preserve"> omfatte udbygningen og vedligeholdelsen af forsyningsnettet, herunder</w:t>
      </w:r>
      <w:r>
        <w:t xml:space="preserve"> </w:t>
      </w:r>
      <w:r w:rsidRPr="00EA0959">
        <w:t>også renseanlæg</w:t>
      </w:r>
      <w:r>
        <w:t xml:space="preserve"> (den fremadrettede forsyningsstruktur) og vandselskabets strategi</w:t>
      </w:r>
      <w:r w:rsidRPr="00EA0959">
        <w:t xml:space="preserve">. </w:t>
      </w:r>
      <w:r w:rsidRPr="00883DFF">
        <w:t xml:space="preserve">Udbygningen af ledningsnettet vil kunne omfatte etablering af ledninger i nye områder </w:t>
      </w:r>
      <w:r>
        <w:t>i</w:t>
      </w:r>
      <w:r w:rsidRPr="00EA0959">
        <w:t xml:space="preserve"> overensstemmelse med kommunens planlægning, herunder udbygning </w:t>
      </w:r>
      <w:r w:rsidR="008E72BA">
        <w:t xml:space="preserve">af </w:t>
      </w:r>
      <w:r w:rsidRPr="00EA0959">
        <w:t>rensningsanlæg m.v</w:t>
      </w:r>
      <w:r w:rsidR="000166CF">
        <w:t>.</w:t>
      </w:r>
      <w:r>
        <w:t>, ligesom kommunalbestyrelsens eller spildevandsselskabets eventuelle ønsker til ændring af kloakeringsprincip i allerede forsynede områder kan indgå. Der er ingen særlige formkrav til drøftelsen. Vandselskabers deltagelse i møder som led i denne årlige drøftelse og det materiale der indsendes til brug herfor – eksempelvis ønsker til ændringer af spildevandsplanen – falder herefter</w:t>
      </w:r>
      <w:r w:rsidR="000166CF">
        <w:t>,</w:t>
      </w:r>
      <w:r>
        <w:t xml:space="preserve"> efter </w:t>
      </w:r>
      <w:proofErr w:type="spellStart"/>
      <w:r>
        <w:t>DANVAs</w:t>
      </w:r>
      <w:proofErr w:type="spellEnd"/>
      <w:r>
        <w:t xml:space="preserve"> opfattelse</w:t>
      </w:r>
      <w:r w:rsidR="000166CF">
        <w:t>,</w:t>
      </w:r>
      <w:r>
        <w:t xml:space="preserve"> udenfor såvel MBL §</w:t>
      </w:r>
      <w:r w:rsidR="00082EB2">
        <w:t>32 a</w:t>
      </w:r>
      <w:r>
        <w:t xml:space="preserve"> som tilknyttet virksomhed.</w:t>
      </w:r>
      <w:r w:rsidR="00554766" w:rsidRPr="00554766">
        <w:t xml:space="preserve"> </w:t>
      </w:r>
    </w:p>
    <w:p w14:paraId="62B29337" w14:textId="77777777" w:rsidR="00E3310B" w:rsidRDefault="00E3310B" w:rsidP="004D5FFF"/>
    <w:p w14:paraId="595F9663" w14:textId="144C0F76" w:rsidR="00554766" w:rsidRDefault="008C29A6" w:rsidP="00554766">
      <w:r>
        <w:t xml:space="preserve">Tilsvarende er det således, at </w:t>
      </w:r>
      <w:r w:rsidR="00554766">
        <w:t>k</w:t>
      </w:r>
      <w:r w:rsidR="00554766" w:rsidRPr="00554766">
        <w:t>ommunalbestyrelsen skal forhandle forslag til spildevandsplan</w:t>
      </w:r>
      <w:r w:rsidR="00554766">
        <w:t xml:space="preserve">en </w:t>
      </w:r>
      <w:r w:rsidR="00554766" w:rsidRPr="00554766">
        <w:t>med</w:t>
      </w:r>
      <w:r w:rsidR="00554766">
        <w:t xml:space="preserve"> vandselskaberne i kommunen jf.</w:t>
      </w:r>
      <w:r w:rsidR="00554766" w:rsidRPr="00554766">
        <w:t xml:space="preserve"> </w:t>
      </w:r>
      <w:r w:rsidR="00554766">
        <w:t xml:space="preserve">bekendtgørelsen § 10 stk. 1. Møder der afholdes med henblik på forhandling af spildevandsplanen vil således være omfattet af denne bestemmelse og dermed ikke være tilknyttet virksomhed. </w:t>
      </w:r>
    </w:p>
    <w:p w14:paraId="377ACF75" w14:textId="77777777" w:rsidR="00554766" w:rsidRDefault="00554766" w:rsidP="00554766"/>
    <w:p w14:paraId="2C324126" w14:textId="1E2C8C2C" w:rsidR="009336EB" w:rsidRDefault="009336EB" w:rsidP="009336EB">
      <w:r>
        <w:t xml:space="preserve">Det bør </w:t>
      </w:r>
      <w:r w:rsidRPr="00554766">
        <w:t>kunne dokumenteres</w:t>
      </w:r>
      <w:r>
        <w:t>/godtgøres</w:t>
      </w:r>
      <w:r w:rsidR="00BE7293">
        <w:t>,</w:t>
      </w:r>
      <w:r w:rsidRPr="00554766">
        <w:t xml:space="preserve"> at </w:t>
      </w:r>
      <w:r>
        <w:t xml:space="preserve">der har været tale </w:t>
      </w:r>
      <w:r w:rsidR="00BE7293">
        <w:t xml:space="preserve">om </w:t>
      </w:r>
      <w:r w:rsidRPr="00554766">
        <w:t xml:space="preserve">møder </w:t>
      </w:r>
      <w:r>
        <w:t xml:space="preserve">efter Miljøbeskyttelseslovens § 32c eller bekendtgørelsens § 10, i form af dagsordner og referater for de pågældende møder. Tilsvarende bør det </w:t>
      </w:r>
      <w:r w:rsidR="0048368C">
        <w:t>fremgå af konteksten og materialet, hvorledes det er relateret til drøftelser/forhandlinger efter henholdsvis MBL § 32c og bekendtgørelsen, såfremt vandselskabet udleverer materiale til kommunen i forbindelse med møderne</w:t>
      </w:r>
      <w:r>
        <w:t xml:space="preserve">. </w:t>
      </w:r>
    </w:p>
    <w:p w14:paraId="4A5C19C1" w14:textId="77777777" w:rsidR="009336EB" w:rsidRDefault="009336EB" w:rsidP="009336EB"/>
    <w:p w14:paraId="16A29CF4" w14:textId="2E0A41B0" w:rsidR="00E3310B" w:rsidRDefault="0048368C" w:rsidP="00554766">
      <w:r>
        <w:t>S</w:t>
      </w:r>
      <w:r w:rsidR="00554766">
        <w:t>pildevandsplanen skal sendes i</w:t>
      </w:r>
      <w:r w:rsidR="00554766" w:rsidRPr="00554766">
        <w:t xml:space="preserve"> </w:t>
      </w:r>
      <w:r>
        <w:t xml:space="preserve">høring jf. bekendtgørelsens </w:t>
      </w:r>
      <w:r w:rsidR="00554766">
        <w:t>§ 10 stk. 2</w:t>
      </w:r>
      <w:r>
        <w:t>. Da en forhandling med kommunen er mere end en orientering men fortsat betyder</w:t>
      </w:r>
      <w:r w:rsidR="000166CF">
        <w:t>,</w:t>
      </w:r>
      <w:r>
        <w:t xml:space="preserve"> at kommunen har beslutningskompetencen i tilfælde af manglende enighed, kan der opstå en situation</w:t>
      </w:r>
      <w:r w:rsidR="00BE7293">
        <w:t>,</w:t>
      </w:r>
      <w:r>
        <w:t xml:space="preserve"> hvor et vandselskab ønsker at afgive et høringssvar omkring spildevandsplanen. Et sådant høringssvar vil efter </w:t>
      </w:r>
      <w:proofErr w:type="spellStart"/>
      <w:r>
        <w:t>DANVAs</w:t>
      </w:r>
      <w:proofErr w:type="spellEnd"/>
      <w:r>
        <w:t xml:space="preserve"> opfattelse ligeledes falde udenfor MBL § 32 og tilknyttet virksomhed.</w:t>
      </w:r>
    </w:p>
    <w:p w14:paraId="0B8BC9DB" w14:textId="77777777" w:rsidR="004D5FFF" w:rsidRDefault="004D5FFF" w:rsidP="004D5FFF"/>
    <w:p w14:paraId="688CCDC4" w14:textId="06AED365" w:rsidR="00A306D3" w:rsidRPr="00FD36D0" w:rsidRDefault="00FC13BC" w:rsidP="005A47B2">
      <w:pPr>
        <w:rPr>
          <w:b/>
          <w:bCs/>
        </w:rPr>
      </w:pPr>
      <w:r w:rsidRPr="00FD36D0">
        <w:rPr>
          <w:b/>
          <w:bCs/>
        </w:rPr>
        <w:t>Afslutningsvist</w:t>
      </w:r>
    </w:p>
    <w:p w14:paraId="67CE2BAA" w14:textId="77777777" w:rsidR="00A306D3" w:rsidRDefault="00A306D3" w:rsidP="005A47B2"/>
    <w:p w14:paraId="4DA3F773" w14:textId="7E8CD175" w:rsidR="00EA71AB" w:rsidRDefault="0074122A" w:rsidP="005A47B2">
      <w:r>
        <w:t>Afslutningsvist skal det fremhæves, at tilsynet i sin konkrete afgørelse tillagde omfanget af timeregist</w:t>
      </w:r>
      <w:r w:rsidR="00153103">
        <w:t>r</w:t>
      </w:r>
      <w:r>
        <w:t>eringer og beløbet</w:t>
      </w:r>
      <w:r w:rsidR="00153103">
        <w:t>s</w:t>
      </w:r>
      <w:r>
        <w:t xml:space="preserve"> størrelse på 622.500 kr. betydning.</w:t>
      </w:r>
      <w:r w:rsidR="00EB46A9">
        <w:t xml:space="preserve"> </w:t>
      </w:r>
      <w:r w:rsidR="00EA71AB">
        <w:t xml:space="preserve">Ligeledes blev det tillagt vægt, at beskrivelsen af ydelsen indeholdt projektledelse, tekstbidrag, øvrige opgaver mv. </w:t>
      </w:r>
    </w:p>
    <w:p w14:paraId="375979CE" w14:textId="77777777" w:rsidR="00EA71AB" w:rsidRDefault="00EA71AB" w:rsidP="005A47B2"/>
    <w:p w14:paraId="188951DE" w14:textId="5A86BE46" w:rsidR="00EB46A9" w:rsidRDefault="00EA71AB" w:rsidP="005A47B2">
      <w:r>
        <w:t xml:space="preserve">Det </w:t>
      </w:r>
      <w:r w:rsidR="00EB46A9">
        <w:t xml:space="preserve">fremgår </w:t>
      </w:r>
      <w:r w:rsidR="0079788B">
        <w:t>også</w:t>
      </w:r>
      <w:r w:rsidR="00EB46A9">
        <w:t xml:space="preserve"> af afgørelsen, hvorledes Vandsektortilsynet bad om oplysninger </w:t>
      </w:r>
      <w:r w:rsidR="00EB46A9" w:rsidRPr="00EB46A9">
        <w:t xml:space="preserve">for at kunne vurdere, hvordan den af </w:t>
      </w:r>
      <w:r w:rsidR="00EB46A9">
        <w:t xml:space="preserve">vandselskabet ydede bistand fordelte sig </w:t>
      </w:r>
      <w:r w:rsidR="00EB46A9" w:rsidRPr="00EB46A9">
        <w:t>på de to kategorier</w:t>
      </w:r>
      <w:r w:rsidR="00153103">
        <w:t xml:space="preserve"> </w:t>
      </w:r>
      <w:r w:rsidR="00603347">
        <w:t>men ikke modtog et svar herpå</w:t>
      </w:r>
      <w:r w:rsidR="00CC2001">
        <w:rPr>
          <w:rStyle w:val="Fodnotehenvisning"/>
        </w:rPr>
        <w:footnoteReference w:id="4"/>
      </w:r>
      <w:r w:rsidR="00EB46A9">
        <w:t>.</w:t>
      </w:r>
    </w:p>
    <w:p w14:paraId="7DBDE54F" w14:textId="77777777" w:rsidR="0074122A" w:rsidRDefault="0074122A" w:rsidP="005A47B2"/>
    <w:p w14:paraId="3AFA2D7F" w14:textId="7E3E6C40" w:rsidR="00FD36D0" w:rsidRDefault="00EB46A9" w:rsidP="005A47B2">
      <w:r>
        <w:lastRenderedPageBreak/>
        <w:t xml:space="preserve">DANVA </w:t>
      </w:r>
      <w:r w:rsidR="00A306D3">
        <w:t>forventer, at Vandsektortilsynet i sin</w:t>
      </w:r>
      <w:r w:rsidR="00153103">
        <w:t>e</w:t>
      </w:r>
      <w:r w:rsidR="00A306D3">
        <w:t xml:space="preserve"> kontroller af henholdsvis vandselskabernes markedsmæssighed og kommunernes indberetninger efter stoploven vil have opmærksomhed på emnet fremadrettet. </w:t>
      </w:r>
      <w:r w:rsidR="00006445">
        <w:t xml:space="preserve">Vi opfordrer både </w:t>
      </w:r>
      <w:r w:rsidR="00EA71AB">
        <w:t xml:space="preserve">kommuner og vandselskaber </w:t>
      </w:r>
      <w:r w:rsidR="00006445">
        <w:t xml:space="preserve">til opmærksomhed på regelsættet og detaljerne heri, herunder hvorledes vandselskabets </w:t>
      </w:r>
      <w:r w:rsidR="004D5FFF">
        <w:t>deltagelse i forhold til spil</w:t>
      </w:r>
      <w:r w:rsidR="00E3310B">
        <w:t>d</w:t>
      </w:r>
      <w:r w:rsidR="004D5FFF">
        <w:t>evandsplanlægningen er</w:t>
      </w:r>
      <w:r w:rsidR="00006445">
        <w:t xml:space="preserve"> fordel</w:t>
      </w:r>
      <w:r w:rsidR="004D5FFF">
        <w:t>t</w:t>
      </w:r>
      <w:r w:rsidR="00006445">
        <w:t xml:space="preserve"> mellem </w:t>
      </w:r>
      <w:r w:rsidR="004D5FFF">
        <w:t xml:space="preserve">de forskellige </w:t>
      </w:r>
      <w:r w:rsidR="00006445">
        <w:t>kategorier og dokument</w:t>
      </w:r>
      <w:r w:rsidR="0079788B">
        <w:t>ation</w:t>
      </w:r>
      <w:r w:rsidR="00006445">
        <w:t>/godtgøre</w:t>
      </w:r>
      <w:r w:rsidR="00D04E26">
        <w:t>lse i forhold hertil</w:t>
      </w:r>
      <w:r w:rsidR="00006445">
        <w:t xml:space="preserve">.    </w:t>
      </w:r>
    </w:p>
    <w:p w14:paraId="18B060FF" w14:textId="77777777" w:rsidR="00A46D52" w:rsidRDefault="00A46D52" w:rsidP="005A47B2"/>
    <w:p w14:paraId="2608A6E7" w14:textId="7D50B56F" w:rsidR="00BE7293" w:rsidRDefault="00BE7293" w:rsidP="005A47B2"/>
    <w:p w14:paraId="48FA3A6B" w14:textId="77777777" w:rsidR="00A46D52" w:rsidRDefault="00A46D52" w:rsidP="005A47B2"/>
    <w:sectPr w:rsidR="00A46D52" w:rsidSect="001328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814" w:right="2268" w:bottom="1644" w:left="851" w:header="567" w:footer="340" w:gutter="0"/>
      <w:paperSrc w:first="267" w:other="2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D5E57" w14:textId="77777777" w:rsidR="0088759B" w:rsidRDefault="0088759B">
      <w:r>
        <w:separator/>
      </w:r>
    </w:p>
  </w:endnote>
  <w:endnote w:type="continuationSeparator" w:id="0">
    <w:p w14:paraId="78EF05CD" w14:textId="77777777" w:rsidR="0088759B" w:rsidRDefault="00887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74AA1" w14:textId="77777777" w:rsidR="0038253D" w:rsidRDefault="0038253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W w:w="102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931"/>
      <w:gridCol w:w="1274"/>
    </w:tblGrid>
    <w:tr w:rsidR="00C00FF7" w14:paraId="1E7BD2DD" w14:textId="77777777" w:rsidTr="00280EDB">
      <w:trPr>
        <w:trHeight w:hRule="exact" w:val="567"/>
      </w:trPr>
      <w:tc>
        <w:tcPr>
          <w:tcW w:w="8931" w:type="dxa"/>
          <w:vAlign w:val="bottom"/>
        </w:tcPr>
        <w:p w14:paraId="1C1C63C4" w14:textId="77777777" w:rsidR="00C00FF7" w:rsidRPr="00B46D48" w:rsidRDefault="00C00FF7" w:rsidP="00C00FF7">
          <w:pPr>
            <w:pStyle w:val="Sidefod"/>
          </w:pPr>
        </w:p>
      </w:tc>
      <w:tc>
        <w:tcPr>
          <w:tcW w:w="1274" w:type="dxa"/>
          <w:vAlign w:val="bottom"/>
        </w:tcPr>
        <w:p w14:paraId="082C1705" w14:textId="77777777" w:rsidR="00C00FF7" w:rsidRPr="00081770" w:rsidRDefault="00C00FF7" w:rsidP="00C00FF7">
          <w:pPr>
            <w:pStyle w:val="Sidefod"/>
            <w:jc w:val="right"/>
            <w:rPr>
              <w:sz w:val="16"/>
              <w:szCs w:val="16"/>
            </w:rPr>
          </w:pPr>
          <w:r w:rsidRPr="00081770">
            <w:rPr>
              <w:sz w:val="16"/>
              <w:szCs w:val="16"/>
            </w:rPr>
            <w:t xml:space="preserve">Side </w:t>
          </w:r>
          <w:r w:rsidRPr="00081770">
            <w:rPr>
              <w:sz w:val="16"/>
              <w:szCs w:val="16"/>
            </w:rPr>
            <w:fldChar w:fldCharType="begin"/>
          </w:r>
          <w:r w:rsidRPr="00081770">
            <w:rPr>
              <w:sz w:val="16"/>
              <w:szCs w:val="16"/>
            </w:rPr>
            <w:instrText xml:space="preserve"> page </w:instrText>
          </w:r>
          <w:r w:rsidRPr="00081770">
            <w:rPr>
              <w:sz w:val="16"/>
              <w:szCs w:val="16"/>
            </w:rPr>
            <w:fldChar w:fldCharType="separate"/>
          </w:r>
          <w:r w:rsidR="00EF40A3">
            <w:rPr>
              <w:sz w:val="16"/>
              <w:szCs w:val="16"/>
            </w:rPr>
            <w:t>2</w:t>
          </w:r>
          <w:r w:rsidRPr="00081770">
            <w:rPr>
              <w:sz w:val="16"/>
              <w:szCs w:val="16"/>
            </w:rPr>
            <w:fldChar w:fldCharType="end"/>
          </w:r>
          <w:r w:rsidRPr="00081770">
            <w:rPr>
              <w:sz w:val="16"/>
              <w:szCs w:val="16"/>
            </w:rPr>
            <w:t xml:space="preserve"> af </w:t>
          </w:r>
          <w:r w:rsidRPr="00081770">
            <w:rPr>
              <w:sz w:val="16"/>
              <w:szCs w:val="16"/>
            </w:rPr>
            <w:fldChar w:fldCharType="begin"/>
          </w:r>
          <w:r w:rsidRPr="00081770">
            <w:rPr>
              <w:sz w:val="16"/>
              <w:szCs w:val="16"/>
            </w:rPr>
            <w:instrText xml:space="preserve"> numpages </w:instrText>
          </w:r>
          <w:r w:rsidRPr="00081770">
            <w:rPr>
              <w:sz w:val="16"/>
              <w:szCs w:val="16"/>
            </w:rPr>
            <w:fldChar w:fldCharType="separate"/>
          </w:r>
          <w:r w:rsidR="00EF40A3">
            <w:rPr>
              <w:sz w:val="16"/>
              <w:szCs w:val="16"/>
            </w:rPr>
            <w:t>2</w:t>
          </w:r>
          <w:r w:rsidRPr="00081770">
            <w:rPr>
              <w:sz w:val="16"/>
              <w:szCs w:val="16"/>
            </w:rPr>
            <w:fldChar w:fldCharType="end"/>
          </w:r>
        </w:p>
      </w:tc>
    </w:tr>
  </w:tbl>
  <w:p w14:paraId="0F553D08" w14:textId="77777777" w:rsidR="00E0062F" w:rsidRPr="00C00FF7" w:rsidRDefault="00E0062F" w:rsidP="00C00FF7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W w:w="102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931"/>
      <w:gridCol w:w="1274"/>
    </w:tblGrid>
    <w:tr w:rsidR="00F76F59" w14:paraId="19FD72DF" w14:textId="77777777" w:rsidTr="00F508C1">
      <w:trPr>
        <w:trHeight w:hRule="exact" w:val="567"/>
      </w:trPr>
      <w:tc>
        <w:tcPr>
          <w:tcW w:w="8931" w:type="dxa"/>
          <w:vAlign w:val="bottom"/>
        </w:tcPr>
        <w:p w14:paraId="03D0F5BC" w14:textId="77777777" w:rsidR="00F76F59" w:rsidRPr="0038253D" w:rsidRDefault="000E6318" w:rsidP="00B46D48">
          <w:pPr>
            <w:pStyle w:val="Sidefod"/>
          </w:pPr>
          <w:r>
            <w:rPr>
              <w:rStyle w:val="Labels"/>
            </w:rPr>
            <w:t>VANDHUSET</w:t>
          </w:r>
          <w:r>
            <w:t xml:space="preserve"> </w:t>
          </w:r>
          <w:r>
            <w:rPr>
              <w:position w:val="1"/>
              <w:sz w:val="16"/>
              <w:szCs w:val="16"/>
            </w:rPr>
            <w:t>|</w:t>
          </w:r>
          <w:r>
            <w:t xml:space="preserve"> Godthåbsvej 83, 8660 Skanderborg </w:t>
          </w:r>
          <w:r>
            <w:rPr>
              <w:position w:val="1"/>
              <w:sz w:val="16"/>
              <w:szCs w:val="16"/>
            </w:rPr>
            <w:t>|</w:t>
          </w:r>
          <w:r>
            <w:t xml:space="preserve"> </w:t>
          </w:r>
          <w:r>
            <w:rPr>
              <w:b/>
            </w:rPr>
            <w:t>KØBENHAVN</w:t>
          </w:r>
          <w:r>
            <w:t xml:space="preserve"> | Vester Farimagsgade 1, 5. sal., 1606 København V | Tlf. 7021 0055 </w:t>
          </w:r>
          <w:r>
            <w:rPr>
              <w:position w:val="1"/>
              <w:sz w:val="16"/>
              <w:szCs w:val="16"/>
            </w:rPr>
            <w:t>|</w:t>
          </w:r>
          <w:r>
            <w:t xml:space="preserve"> danva@danva.dk </w:t>
          </w:r>
          <w:r>
            <w:rPr>
              <w:position w:val="1"/>
              <w:sz w:val="16"/>
              <w:szCs w:val="16"/>
            </w:rPr>
            <w:t>|</w:t>
          </w:r>
          <w:r>
            <w:t xml:space="preserve"> www.danva.dk</w:t>
          </w:r>
        </w:p>
      </w:tc>
      <w:tc>
        <w:tcPr>
          <w:tcW w:w="1274" w:type="dxa"/>
          <w:vAlign w:val="bottom"/>
        </w:tcPr>
        <w:p w14:paraId="026FE6FF" w14:textId="77777777" w:rsidR="00F76F59" w:rsidRPr="00081770" w:rsidRDefault="00F76F59" w:rsidP="00F76F59">
          <w:pPr>
            <w:pStyle w:val="Sidefod"/>
            <w:jc w:val="right"/>
            <w:rPr>
              <w:sz w:val="16"/>
              <w:szCs w:val="16"/>
            </w:rPr>
          </w:pPr>
          <w:r w:rsidRPr="00081770">
            <w:rPr>
              <w:sz w:val="16"/>
              <w:szCs w:val="16"/>
            </w:rPr>
            <w:t xml:space="preserve">Side </w:t>
          </w:r>
          <w:r w:rsidRPr="00081770">
            <w:rPr>
              <w:sz w:val="16"/>
              <w:szCs w:val="16"/>
            </w:rPr>
            <w:fldChar w:fldCharType="begin"/>
          </w:r>
          <w:r w:rsidRPr="00081770">
            <w:rPr>
              <w:sz w:val="16"/>
              <w:szCs w:val="16"/>
            </w:rPr>
            <w:instrText xml:space="preserve"> page </w:instrText>
          </w:r>
          <w:r w:rsidRPr="00081770">
            <w:rPr>
              <w:sz w:val="16"/>
              <w:szCs w:val="16"/>
            </w:rPr>
            <w:fldChar w:fldCharType="separate"/>
          </w:r>
          <w:r w:rsidR="000E6318">
            <w:rPr>
              <w:sz w:val="16"/>
              <w:szCs w:val="16"/>
            </w:rPr>
            <w:t>1</w:t>
          </w:r>
          <w:r w:rsidRPr="00081770">
            <w:rPr>
              <w:sz w:val="16"/>
              <w:szCs w:val="16"/>
            </w:rPr>
            <w:fldChar w:fldCharType="end"/>
          </w:r>
          <w:r w:rsidRPr="00081770">
            <w:rPr>
              <w:sz w:val="16"/>
              <w:szCs w:val="16"/>
            </w:rPr>
            <w:t xml:space="preserve"> af </w:t>
          </w:r>
          <w:r w:rsidRPr="00081770">
            <w:rPr>
              <w:sz w:val="16"/>
              <w:szCs w:val="16"/>
            </w:rPr>
            <w:fldChar w:fldCharType="begin"/>
          </w:r>
          <w:r w:rsidRPr="00081770">
            <w:rPr>
              <w:sz w:val="16"/>
              <w:szCs w:val="16"/>
            </w:rPr>
            <w:instrText xml:space="preserve"> numpages </w:instrText>
          </w:r>
          <w:r w:rsidRPr="00081770">
            <w:rPr>
              <w:sz w:val="16"/>
              <w:szCs w:val="16"/>
            </w:rPr>
            <w:fldChar w:fldCharType="separate"/>
          </w:r>
          <w:r w:rsidR="000E6318">
            <w:rPr>
              <w:sz w:val="16"/>
              <w:szCs w:val="16"/>
            </w:rPr>
            <w:t>1</w:t>
          </w:r>
          <w:r w:rsidRPr="00081770">
            <w:rPr>
              <w:sz w:val="16"/>
              <w:szCs w:val="16"/>
            </w:rPr>
            <w:fldChar w:fldCharType="end"/>
          </w:r>
        </w:p>
      </w:tc>
    </w:tr>
  </w:tbl>
  <w:p w14:paraId="2B2C8B44" w14:textId="77777777" w:rsidR="00E0062F" w:rsidRPr="00F76F59" w:rsidRDefault="00E0062F" w:rsidP="00F76F5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E802B" w14:textId="77777777" w:rsidR="0088759B" w:rsidRDefault="0088759B">
      <w:r>
        <w:separator/>
      </w:r>
    </w:p>
  </w:footnote>
  <w:footnote w:type="continuationSeparator" w:id="0">
    <w:p w14:paraId="1BECEC8C" w14:textId="77777777" w:rsidR="0088759B" w:rsidRDefault="0088759B">
      <w:r>
        <w:continuationSeparator/>
      </w:r>
    </w:p>
  </w:footnote>
  <w:footnote w:id="1">
    <w:p w14:paraId="0BFAEA56" w14:textId="16E3546B" w:rsidR="004075F5" w:rsidRPr="00894930" w:rsidRDefault="004075F5" w:rsidP="0050022F">
      <w:pPr>
        <w:pStyle w:val="Fodnotetekst"/>
        <w:rPr>
          <w:sz w:val="18"/>
          <w:szCs w:val="18"/>
        </w:rPr>
      </w:pPr>
      <w:r w:rsidRPr="00894930">
        <w:rPr>
          <w:rStyle w:val="Fodnotehenvisning"/>
          <w:sz w:val="18"/>
          <w:szCs w:val="18"/>
        </w:rPr>
        <w:footnoteRef/>
      </w:r>
      <w:r w:rsidRPr="00894930">
        <w:rPr>
          <w:sz w:val="18"/>
          <w:szCs w:val="18"/>
        </w:rPr>
        <w:t xml:space="preserve"> Der bliver dermed tale om en modregning i bloktilskuddet for kommunen jf. </w:t>
      </w:r>
      <w:r w:rsidR="00894930" w:rsidRPr="00894930">
        <w:rPr>
          <w:sz w:val="18"/>
          <w:szCs w:val="18"/>
        </w:rPr>
        <w:t xml:space="preserve">15 § i lov om kommunal udligning og generelle tilskud til kommuner i sammenhæng med stoplovens </w:t>
      </w:r>
      <w:r w:rsidR="00E5031B">
        <w:rPr>
          <w:sz w:val="18"/>
          <w:szCs w:val="18"/>
        </w:rPr>
        <w:t>(</w:t>
      </w:r>
      <w:r w:rsidR="0050022F" w:rsidRPr="0050022F">
        <w:rPr>
          <w:sz w:val="18"/>
          <w:szCs w:val="18"/>
        </w:rPr>
        <w:t xml:space="preserve">Lovbekendtgørelse </w:t>
      </w:r>
      <w:r w:rsidR="0050022F">
        <w:rPr>
          <w:sz w:val="18"/>
          <w:szCs w:val="18"/>
        </w:rPr>
        <w:t xml:space="preserve">142. af 27. oktober </w:t>
      </w:r>
      <w:r w:rsidR="0050022F" w:rsidRPr="0050022F">
        <w:rPr>
          <w:sz w:val="18"/>
          <w:szCs w:val="18"/>
        </w:rPr>
        <w:t>2025</w:t>
      </w:r>
      <w:r w:rsidR="00E5031B">
        <w:rPr>
          <w:sz w:val="18"/>
          <w:szCs w:val="18"/>
        </w:rPr>
        <w:t>)</w:t>
      </w:r>
      <w:r w:rsidR="0050022F">
        <w:rPr>
          <w:sz w:val="18"/>
          <w:szCs w:val="18"/>
        </w:rPr>
        <w:t xml:space="preserve"> </w:t>
      </w:r>
      <w:r w:rsidR="00894930" w:rsidRPr="00894930">
        <w:rPr>
          <w:sz w:val="18"/>
          <w:szCs w:val="18"/>
        </w:rPr>
        <w:t xml:space="preserve">§ 6. </w:t>
      </w:r>
    </w:p>
  </w:footnote>
  <w:footnote w:id="2">
    <w:p w14:paraId="138543B8" w14:textId="5B3E3A27" w:rsidR="002B606F" w:rsidRPr="00894930" w:rsidRDefault="002B606F">
      <w:pPr>
        <w:pStyle w:val="Fodnotetekst"/>
        <w:rPr>
          <w:sz w:val="18"/>
          <w:szCs w:val="18"/>
        </w:rPr>
      </w:pPr>
      <w:r w:rsidRPr="00894930">
        <w:rPr>
          <w:rStyle w:val="Fodnotehenvisning"/>
          <w:sz w:val="18"/>
          <w:szCs w:val="18"/>
        </w:rPr>
        <w:footnoteRef/>
      </w:r>
      <w:r w:rsidRPr="00894930">
        <w:rPr>
          <w:sz w:val="18"/>
          <w:szCs w:val="18"/>
        </w:rPr>
        <w:t xml:space="preserve"> Bekendtgørelse </w:t>
      </w:r>
      <w:r w:rsidR="00894930" w:rsidRPr="00894930">
        <w:rPr>
          <w:sz w:val="18"/>
          <w:szCs w:val="18"/>
        </w:rPr>
        <w:t xml:space="preserve">1446 af 27. november </w:t>
      </w:r>
      <w:r w:rsidRPr="00894930">
        <w:rPr>
          <w:sz w:val="18"/>
          <w:szCs w:val="18"/>
        </w:rPr>
        <w:t>2025</w:t>
      </w:r>
      <w:r w:rsidR="00894930" w:rsidRPr="00894930">
        <w:rPr>
          <w:sz w:val="18"/>
          <w:szCs w:val="18"/>
        </w:rPr>
        <w:t>, kap</w:t>
      </w:r>
      <w:r w:rsidR="00A75E8B" w:rsidRPr="00894930">
        <w:rPr>
          <w:sz w:val="18"/>
          <w:szCs w:val="18"/>
        </w:rPr>
        <w:t xml:space="preserve">itel 3. </w:t>
      </w:r>
      <w:r w:rsidR="007F3E0D" w:rsidRPr="00894930">
        <w:rPr>
          <w:sz w:val="18"/>
          <w:szCs w:val="18"/>
        </w:rPr>
        <w:t xml:space="preserve">Siden 2016 </w:t>
      </w:r>
      <w:r w:rsidR="000E2D2D" w:rsidRPr="00894930">
        <w:rPr>
          <w:sz w:val="18"/>
          <w:szCs w:val="18"/>
        </w:rPr>
        <w:t xml:space="preserve">har </w:t>
      </w:r>
      <w:r w:rsidR="007F3E0D" w:rsidRPr="00894930">
        <w:rPr>
          <w:sz w:val="18"/>
          <w:szCs w:val="18"/>
        </w:rPr>
        <w:t xml:space="preserve">de detaljerede regler om spildevandsplanens indhold </w:t>
      </w:r>
      <w:r w:rsidR="000E2D2D" w:rsidRPr="00894930">
        <w:rPr>
          <w:sz w:val="18"/>
          <w:szCs w:val="18"/>
        </w:rPr>
        <w:t>været at finde på bekendtgørelsesniveau</w:t>
      </w:r>
      <w:r w:rsidR="007F3E0D" w:rsidRPr="00894930">
        <w:rPr>
          <w:sz w:val="18"/>
          <w:szCs w:val="18"/>
        </w:rPr>
        <w:t xml:space="preserve">. </w:t>
      </w:r>
    </w:p>
  </w:footnote>
  <w:footnote w:id="3">
    <w:p w14:paraId="3192AFC9" w14:textId="3BCBD7E0" w:rsidR="00BE7293" w:rsidRPr="008B5A65" w:rsidRDefault="00BE7293">
      <w:pPr>
        <w:pStyle w:val="Fodnotetekst"/>
        <w:rPr>
          <w:sz w:val="18"/>
          <w:szCs w:val="18"/>
        </w:rPr>
      </w:pPr>
      <w:r>
        <w:rPr>
          <w:rStyle w:val="Fodnotehenvisning"/>
        </w:rPr>
        <w:footnoteRef/>
      </w:r>
      <w:r>
        <w:t xml:space="preserve"> </w:t>
      </w:r>
      <w:r w:rsidRPr="008B5A65">
        <w:rPr>
          <w:sz w:val="18"/>
          <w:szCs w:val="18"/>
        </w:rPr>
        <w:t>Vandselskabet bør i denne forbindelse også være opmærksom på reglerne om indberetning til tilsynet omkring markedsmæssig</w:t>
      </w:r>
      <w:r w:rsidRPr="008B5A65">
        <w:rPr>
          <w:sz w:val="18"/>
          <w:szCs w:val="18"/>
        </w:rPr>
        <w:t>hed og tilknyttet virksomhed.</w:t>
      </w:r>
    </w:p>
  </w:footnote>
  <w:footnote w:id="4">
    <w:p w14:paraId="334BEEB8" w14:textId="27E98ED1" w:rsidR="00CC2001" w:rsidRPr="008B5A65" w:rsidRDefault="00CC2001">
      <w:pPr>
        <w:pStyle w:val="Fodnotetekst"/>
        <w:rPr>
          <w:sz w:val="18"/>
          <w:szCs w:val="18"/>
        </w:rPr>
      </w:pPr>
      <w:r w:rsidRPr="008B5A65">
        <w:rPr>
          <w:rStyle w:val="Fodnotehenvisning"/>
          <w:sz w:val="18"/>
          <w:szCs w:val="18"/>
        </w:rPr>
        <w:footnoteRef/>
      </w:r>
      <w:r w:rsidRPr="008B5A65">
        <w:rPr>
          <w:sz w:val="18"/>
          <w:szCs w:val="18"/>
        </w:rPr>
        <w:t xml:space="preserve"> </w:t>
      </w:r>
      <w:r w:rsidR="00EA71AB" w:rsidRPr="008B5A65">
        <w:rPr>
          <w:sz w:val="18"/>
          <w:szCs w:val="18"/>
        </w:rPr>
        <w:t>I den konkrete sag var spildevandsselskabet</w:t>
      </w:r>
      <w:r w:rsidR="00153103">
        <w:rPr>
          <w:sz w:val="18"/>
          <w:szCs w:val="18"/>
        </w:rPr>
        <w:t>s</w:t>
      </w:r>
      <w:r w:rsidR="00EA71AB" w:rsidRPr="008B5A65">
        <w:rPr>
          <w:sz w:val="18"/>
          <w:szCs w:val="18"/>
        </w:rPr>
        <w:t xml:space="preserve"> involvering blevet beskrevet som deltagelse i styre- og projektgruppe, projektledelse, data</w:t>
      </w:r>
      <w:r w:rsidR="00533B00" w:rsidRPr="008B5A65">
        <w:rPr>
          <w:sz w:val="18"/>
          <w:szCs w:val="18"/>
        </w:rPr>
        <w:t>indsamling</w:t>
      </w:r>
      <w:r w:rsidR="00EA71AB" w:rsidRPr="008B5A65">
        <w:rPr>
          <w:sz w:val="18"/>
          <w:szCs w:val="18"/>
        </w:rPr>
        <w:t xml:space="preserve">, kort og udarbejdelse af faglig tekst.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08C08" w14:textId="2CF222F8" w:rsidR="0038253D" w:rsidRDefault="0038253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D7078" w14:textId="60345D8E" w:rsidR="00E0062F" w:rsidRPr="00C00FF7" w:rsidRDefault="00C00FF7" w:rsidP="00EF40A3">
    <w:pPr>
      <w:pStyle w:val="Sidehoved"/>
      <w:spacing w:after="1200"/>
    </w:pPr>
    <w:r>
      <w:rPr>
        <w:noProof/>
      </w:rPr>
      <w:drawing>
        <wp:anchor distT="0" distB="0" distL="114300" distR="114300" simplePos="0" relativeHeight="251666432" behindDoc="1" locked="0" layoutInCell="1" allowOverlap="1" wp14:anchorId="1B33FBC3" wp14:editId="4EBBC2DB">
          <wp:simplePos x="0" y="0"/>
          <wp:positionH relativeFrom="page">
            <wp:posOffset>6426835</wp:posOffset>
          </wp:positionH>
          <wp:positionV relativeFrom="page">
            <wp:posOffset>5112385</wp:posOffset>
          </wp:positionV>
          <wp:extent cx="5036400" cy="5036400"/>
          <wp:effectExtent l="0" t="0" r="0" b="0"/>
          <wp:wrapNone/>
          <wp:docPr id="6" name="Billede 6" descr="C:\Users\Word Specialisten\AppData\Local\Microsoft\Windows\INetCache\Content.Word\DANVA_BOMÃ†RKE_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Word Specialisten\AppData\Local\Microsoft\Windows\INetCache\Content.Word\DANVA_BOMÃ†RKE_2017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6400" cy="503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3612C639" wp14:editId="7A9DADBA">
          <wp:simplePos x="0" y="0"/>
          <wp:positionH relativeFrom="page">
            <wp:posOffset>5202555</wp:posOffset>
          </wp:positionH>
          <wp:positionV relativeFrom="page">
            <wp:posOffset>360045</wp:posOffset>
          </wp:positionV>
          <wp:extent cx="1800000" cy="468000"/>
          <wp:effectExtent l="0" t="0" r="0" b="8255"/>
          <wp:wrapSquare wrapText="bothSides"/>
          <wp:docPr id="7" name="LogoPage2" descr="C:\Users\Word Specialisten\AppData\Local\Microsoft\Windows\INetCache\Content.Word\DANVA_LOGO_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ord Specialisten\AppData\Local\Microsoft\Windows\INetCache\Content.Word\DANVA_LOGO_2017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2F76E" w14:textId="529B5AAB" w:rsidR="00E0062F" w:rsidRPr="00F47C19" w:rsidRDefault="00F47C19" w:rsidP="00F47C19">
    <w:pPr>
      <w:pStyle w:val="Sidehoved"/>
    </w:pPr>
    <w:r>
      <w:rPr>
        <w:noProof/>
      </w:rPr>
      <w:drawing>
        <wp:anchor distT="0" distB="0" distL="114300" distR="114300" simplePos="0" relativeHeight="251654143" behindDoc="1" locked="0" layoutInCell="1" allowOverlap="1" wp14:anchorId="02A1BE05" wp14:editId="3BD0FDB6">
          <wp:simplePos x="0" y="0"/>
          <wp:positionH relativeFrom="page">
            <wp:posOffset>6426835</wp:posOffset>
          </wp:positionH>
          <wp:positionV relativeFrom="page">
            <wp:posOffset>5112385</wp:posOffset>
          </wp:positionV>
          <wp:extent cx="5036400" cy="5036400"/>
          <wp:effectExtent l="0" t="0" r="0" b="0"/>
          <wp:wrapNone/>
          <wp:docPr id="8" name="Billede 8" descr="C:\Users\Word Specialisten\AppData\Local\Microsoft\Windows\INetCache\Content.Word\DANVA_BOMÃ†RKE_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Word Specialisten\AppData\Local\Microsoft\Windows\INetCache\Content.Word\DANVA_BOMÃ†RKE_2017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6400" cy="503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3004B534" wp14:editId="5525968A">
          <wp:simplePos x="0" y="0"/>
          <wp:positionH relativeFrom="page">
            <wp:posOffset>5202555</wp:posOffset>
          </wp:positionH>
          <wp:positionV relativeFrom="page">
            <wp:posOffset>360045</wp:posOffset>
          </wp:positionV>
          <wp:extent cx="1800000" cy="468000"/>
          <wp:effectExtent l="0" t="0" r="0" b="8255"/>
          <wp:wrapNone/>
          <wp:docPr id="9" name="LogoPage1" descr="C:\Users\Word Specialisten\AppData\Local\Microsoft\Windows\INetCache\Content.Word\DANVA_LOGO_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ord Specialisten\AppData\Local\Microsoft\Windows\INetCache\Content.Word\DANVA_LOGO_2017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80223"/>
    <w:multiLevelType w:val="hybridMultilevel"/>
    <w:tmpl w:val="710431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540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attachedTemplate r:id="rId1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1304"/>
  <w:autoHyphenation/>
  <w:hyphenationZone w:val="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A54"/>
    <w:rsid w:val="00006445"/>
    <w:rsid w:val="0000654A"/>
    <w:rsid w:val="000166CF"/>
    <w:rsid w:val="00024039"/>
    <w:rsid w:val="00036437"/>
    <w:rsid w:val="00042EB2"/>
    <w:rsid w:val="000603CF"/>
    <w:rsid w:val="00082EB2"/>
    <w:rsid w:val="000A71E9"/>
    <w:rsid w:val="000B4FFB"/>
    <w:rsid w:val="000D3665"/>
    <w:rsid w:val="000E2D2D"/>
    <w:rsid w:val="000E4ECE"/>
    <w:rsid w:val="000E6318"/>
    <w:rsid w:val="000F7A54"/>
    <w:rsid w:val="00124BFB"/>
    <w:rsid w:val="00132893"/>
    <w:rsid w:val="001506F2"/>
    <w:rsid w:val="00153103"/>
    <w:rsid w:val="00155545"/>
    <w:rsid w:val="001703F8"/>
    <w:rsid w:val="001854F7"/>
    <w:rsid w:val="001C2291"/>
    <w:rsid w:val="001C43D8"/>
    <w:rsid w:val="001D65BA"/>
    <w:rsid w:val="001F7A02"/>
    <w:rsid w:val="0020450C"/>
    <w:rsid w:val="00204A60"/>
    <w:rsid w:val="00207FB2"/>
    <w:rsid w:val="00214756"/>
    <w:rsid w:val="00231E7B"/>
    <w:rsid w:val="00232DB3"/>
    <w:rsid w:val="00234D35"/>
    <w:rsid w:val="00243588"/>
    <w:rsid w:val="00247CBA"/>
    <w:rsid w:val="002536CD"/>
    <w:rsid w:val="002A3423"/>
    <w:rsid w:val="002A4695"/>
    <w:rsid w:val="002A6F4C"/>
    <w:rsid w:val="002B606F"/>
    <w:rsid w:val="002B7D38"/>
    <w:rsid w:val="002C6A7A"/>
    <w:rsid w:val="002D0EC4"/>
    <w:rsid w:val="002D2798"/>
    <w:rsid w:val="002E4588"/>
    <w:rsid w:val="002E6E6E"/>
    <w:rsid w:val="002F1436"/>
    <w:rsid w:val="00305494"/>
    <w:rsid w:val="003150EF"/>
    <w:rsid w:val="003819FD"/>
    <w:rsid w:val="0038253D"/>
    <w:rsid w:val="003855FD"/>
    <w:rsid w:val="00393DDC"/>
    <w:rsid w:val="003B3CD5"/>
    <w:rsid w:val="003E3327"/>
    <w:rsid w:val="004030C2"/>
    <w:rsid w:val="004055C2"/>
    <w:rsid w:val="004074D0"/>
    <w:rsid w:val="004075F5"/>
    <w:rsid w:val="00422CB9"/>
    <w:rsid w:val="00427D31"/>
    <w:rsid w:val="00431E81"/>
    <w:rsid w:val="00443F05"/>
    <w:rsid w:val="00444F50"/>
    <w:rsid w:val="00446D38"/>
    <w:rsid w:val="004719B4"/>
    <w:rsid w:val="0048368C"/>
    <w:rsid w:val="00486A34"/>
    <w:rsid w:val="004B2C81"/>
    <w:rsid w:val="004D33E0"/>
    <w:rsid w:val="004D5FFF"/>
    <w:rsid w:val="004D6A69"/>
    <w:rsid w:val="004E7AFF"/>
    <w:rsid w:val="004F4439"/>
    <w:rsid w:val="0050022F"/>
    <w:rsid w:val="00522FCA"/>
    <w:rsid w:val="00533B00"/>
    <w:rsid w:val="005406C6"/>
    <w:rsid w:val="00543C11"/>
    <w:rsid w:val="00554766"/>
    <w:rsid w:val="00561F0E"/>
    <w:rsid w:val="005850EF"/>
    <w:rsid w:val="005A445B"/>
    <w:rsid w:val="005A47B2"/>
    <w:rsid w:val="005B3BF6"/>
    <w:rsid w:val="005C5E36"/>
    <w:rsid w:val="005E01A8"/>
    <w:rsid w:val="005E405A"/>
    <w:rsid w:val="005F02A6"/>
    <w:rsid w:val="005F1277"/>
    <w:rsid w:val="005F47C1"/>
    <w:rsid w:val="00603347"/>
    <w:rsid w:val="00606DB8"/>
    <w:rsid w:val="00607581"/>
    <w:rsid w:val="006171B4"/>
    <w:rsid w:val="00634777"/>
    <w:rsid w:val="00637049"/>
    <w:rsid w:val="00664690"/>
    <w:rsid w:val="0067440A"/>
    <w:rsid w:val="006760B6"/>
    <w:rsid w:val="00684BFC"/>
    <w:rsid w:val="006860FB"/>
    <w:rsid w:val="006A4E1C"/>
    <w:rsid w:val="006B4ED3"/>
    <w:rsid w:val="006D4C81"/>
    <w:rsid w:val="006F13AF"/>
    <w:rsid w:val="00705557"/>
    <w:rsid w:val="0071103A"/>
    <w:rsid w:val="00727B40"/>
    <w:rsid w:val="00735F85"/>
    <w:rsid w:val="0074122A"/>
    <w:rsid w:val="0075081C"/>
    <w:rsid w:val="00764279"/>
    <w:rsid w:val="007915BE"/>
    <w:rsid w:val="0079788B"/>
    <w:rsid w:val="007C229A"/>
    <w:rsid w:val="007C3E7F"/>
    <w:rsid w:val="007D6FB9"/>
    <w:rsid w:val="007E3289"/>
    <w:rsid w:val="007E4D26"/>
    <w:rsid w:val="007F3E0D"/>
    <w:rsid w:val="007F4C51"/>
    <w:rsid w:val="007F781B"/>
    <w:rsid w:val="0087782D"/>
    <w:rsid w:val="00880216"/>
    <w:rsid w:val="00881EE6"/>
    <w:rsid w:val="00883DFF"/>
    <w:rsid w:val="0088759B"/>
    <w:rsid w:val="00894930"/>
    <w:rsid w:val="0089531F"/>
    <w:rsid w:val="008B220D"/>
    <w:rsid w:val="008B2729"/>
    <w:rsid w:val="008B465D"/>
    <w:rsid w:val="008B5A65"/>
    <w:rsid w:val="008C29A6"/>
    <w:rsid w:val="008D14CD"/>
    <w:rsid w:val="008D57B9"/>
    <w:rsid w:val="008E6C4A"/>
    <w:rsid w:val="008E72BA"/>
    <w:rsid w:val="00905499"/>
    <w:rsid w:val="00911092"/>
    <w:rsid w:val="00916947"/>
    <w:rsid w:val="0092783E"/>
    <w:rsid w:val="009336EB"/>
    <w:rsid w:val="009357E6"/>
    <w:rsid w:val="00981F50"/>
    <w:rsid w:val="00983A9D"/>
    <w:rsid w:val="00984131"/>
    <w:rsid w:val="009A10BA"/>
    <w:rsid w:val="009D3295"/>
    <w:rsid w:val="009E3415"/>
    <w:rsid w:val="009E62DA"/>
    <w:rsid w:val="009F3156"/>
    <w:rsid w:val="00A24430"/>
    <w:rsid w:val="00A2471A"/>
    <w:rsid w:val="00A2594B"/>
    <w:rsid w:val="00A306D3"/>
    <w:rsid w:val="00A4695A"/>
    <w:rsid w:val="00A46D52"/>
    <w:rsid w:val="00A52C0B"/>
    <w:rsid w:val="00A54C6D"/>
    <w:rsid w:val="00A73EDF"/>
    <w:rsid w:val="00A75E8B"/>
    <w:rsid w:val="00A77A09"/>
    <w:rsid w:val="00A95573"/>
    <w:rsid w:val="00AA170D"/>
    <w:rsid w:val="00AA50CC"/>
    <w:rsid w:val="00AB15E6"/>
    <w:rsid w:val="00AE5D06"/>
    <w:rsid w:val="00AF41EB"/>
    <w:rsid w:val="00B07ED8"/>
    <w:rsid w:val="00B40879"/>
    <w:rsid w:val="00B44ACF"/>
    <w:rsid w:val="00B46D48"/>
    <w:rsid w:val="00B57F80"/>
    <w:rsid w:val="00B718B0"/>
    <w:rsid w:val="00B73E83"/>
    <w:rsid w:val="00B7745C"/>
    <w:rsid w:val="00BA2550"/>
    <w:rsid w:val="00BC203E"/>
    <w:rsid w:val="00BC2E6E"/>
    <w:rsid w:val="00BD1459"/>
    <w:rsid w:val="00BD66E1"/>
    <w:rsid w:val="00BE1A54"/>
    <w:rsid w:val="00BE7293"/>
    <w:rsid w:val="00BF0D13"/>
    <w:rsid w:val="00BF6B9F"/>
    <w:rsid w:val="00C00889"/>
    <w:rsid w:val="00C00FF7"/>
    <w:rsid w:val="00C06278"/>
    <w:rsid w:val="00C25EB1"/>
    <w:rsid w:val="00C34815"/>
    <w:rsid w:val="00CC2001"/>
    <w:rsid w:val="00CC2FBA"/>
    <w:rsid w:val="00CE50DF"/>
    <w:rsid w:val="00CF050E"/>
    <w:rsid w:val="00D01C6C"/>
    <w:rsid w:val="00D04E26"/>
    <w:rsid w:val="00D34688"/>
    <w:rsid w:val="00D374DA"/>
    <w:rsid w:val="00D7255F"/>
    <w:rsid w:val="00D846BC"/>
    <w:rsid w:val="00DA19C1"/>
    <w:rsid w:val="00DA4B84"/>
    <w:rsid w:val="00DC3CB7"/>
    <w:rsid w:val="00E0062F"/>
    <w:rsid w:val="00E1078F"/>
    <w:rsid w:val="00E11323"/>
    <w:rsid w:val="00E3310B"/>
    <w:rsid w:val="00E5031B"/>
    <w:rsid w:val="00E800DD"/>
    <w:rsid w:val="00E80DC2"/>
    <w:rsid w:val="00E85022"/>
    <w:rsid w:val="00E864D2"/>
    <w:rsid w:val="00EA0959"/>
    <w:rsid w:val="00EA1EB1"/>
    <w:rsid w:val="00EA4A04"/>
    <w:rsid w:val="00EA71AB"/>
    <w:rsid w:val="00EA72A8"/>
    <w:rsid w:val="00EB46A9"/>
    <w:rsid w:val="00EC04E7"/>
    <w:rsid w:val="00EC3EDE"/>
    <w:rsid w:val="00EF1072"/>
    <w:rsid w:val="00EF40A3"/>
    <w:rsid w:val="00F02D5D"/>
    <w:rsid w:val="00F23837"/>
    <w:rsid w:val="00F40DBB"/>
    <w:rsid w:val="00F45DA8"/>
    <w:rsid w:val="00F47C19"/>
    <w:rsid w:val="00F508C1"/>
    <w:rsid w:val="00F637A1"/>
    <w:rsid w:val="00F66A4A"/>
    <w:rsid w:val="00F76F59"/>
    <w:rsid w:val="00F93AD4"/>
    <w:rsid w:val="00FC13BC"/>
    <w:rsid w:val="00FC32DE"/>
    <w:rsid w:val="00FC608D"/>
    <w:rsid w:val="00FD36D0"/>
    <w:rsid w:val="00FE5250"/>
    <w:rsid w:val="00FE6D32"/>
    <w:rsid w:val="00FF2EA8"/>
    <w:rsid w:val="00FF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7D56A7"/>
  <w15:docId w15:val="{50B60F43-2405-4EFC-881C-6F168E507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semiHidden="1" w:uiPriority="21"/>
    <w:lsdException w:name="Subtle Reference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2"/>
    <w:qFormat/>
    <w:rsid w:val="004055C2"/>
    <w:pPr>
      <w:spacing w:line="230" w:lineRule="atLeast"/>
    </w:pPr>
    <w:rPr>
      <w:rFonts w:ascii="Verdana" w:hAnsi="Verdana" w:cs="Arial"/>
      <w:sz w:val="18"/>
      <w:szCs w:val="24"/>
    </w:rPr>
  </w:style>
  <w:style w:type="paragraph" w:styleId="Overskrift1">
    <w:name w:val="heading 1"/>
    <w:basedOn w:val="Normal"/>
    <w:next w:val="Normal"/>
    <w:qFormat/>
    <w:rsid w:val="00231E7B"/>
    <w:pPr>
      <w:keepNext/>
      <w:spacing w:after="240" w:line="360" w:lineRule="atLeast"/>
      <w:outlineLvl w:val="0"/>
    </w:pPr>
    <w:rPr>
      <w:b/>
      <w:bCs/>
      <w:kern w:val="32"/>
      <w:sz w:val="34"/>
      <w:szCs w:val="32"/>
    </w:rPr>
  </w:style>
  <w:style w:type="paragraph" w:styleId="Overskrift2">
    <w:name w:val="heading 2"/>
    <w:basedOn w:val="Normal"/>
    <w:next w:val="Normal"/>
    <w:qFormat/>
    <w:rsid w:val="00B57F80"/>
    <w:pPr>
      <w:keepNext/>
      <w:spacing w:before="240"/>
      <w:outlineLvl w:val="1"/>
    </w:pPr>
    <w:rPr>
      <w:b/>
      <w:bCs/>
      <w:iCs/>
      <w:szCs w:val="28"/>
    </w:rPr>
  </w:style>
  <w:style w:type="paragraph" w:styleId="Overskrift3">
    <w:name w:val="heading 3"/>
    <w:basedOn w:val="Normal"/>
    <w:next w:val="Normal"/>
    <w:semiHidden/>
    <w:rsid w:val="0000654A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semiHidden/>
    <w:rsid w:val="0000654A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semiHidden/>
    <w:rsid w:val="00F23837"/>
    <w:pPr>
      <w:tabs>
        <w:tab w:val="center" w:pos="4819"/>
        <w:tab w:val="right" w:pos="9638"/>
      </w:tabs>
      <w:spacing w:line="230" w:lineRule="exact"/>
    </w:pPr>
    <w:rPr>
      <w:noProof/>
      <w:color w:val="000000"/>
    </w:rPr>
  </w:style>
  <w:style w:type="character" w:styleId="Hyperlink">
    <w:name w:val="Hyperlink"/>
    <w:basedOn w:val="Standardskrifttypeiafsnit"/>
    <w:semiHidden/>
    <w:rsid w:val="0000654A"/>
    <w:rPr>
      <w:color w:val="0000FF"/>
      <w:u w:val="single"/>
    </w:rPr>
  </w:style>
  <w:style w:type="character" w:styleId="Sidetal">
    <w:name w:val="page number"/>
    <w:basedOn w:val="Standardskrifttypeiafsnit"/>
    <w:semiHidden/>
    <w:rsid w:val="0000654A"/>
  </w:style>
  <w:style w:type="paragraph" w:styleId="Markeringsbobletekst">
    <w:name w:val="Balloon Text"/>
    <w:basedOn w:val="Normal"/>
    <w:semiHidden/>
    <w:rsid w:val="0000654A"/>
    <w:rPr>
      <w:rFonts w:ascii="Tahoma" w:hAnsi="Tahoma" w:cs="Tahoma"/>
      <w:sz w:val="16"/>
      <w:szCs w:val="16"/>
    </w:rPr>
  </w:style>
  <w:style w:type="character" w:styleId="Kommentarhenvisning">
    <w:name w:val="annotation reference"/>
    <w:basedOn w:val="Standardskrifttypeiafsnit"/>
    <w:semiHidden/>
    <w:rsid w:val="0000654A"/>
    <w:rPr>
      <w:sz w:val="16"/>
      <w:szCs w:val="16"/>
    </w:rPr>
  </w:style>
  <w:style w:type="paragraph" w:styleId="Kommentartekst">
    <w:name w:val="annotation text"/>
    <w:basedOn w:val="Normal"/>
    <w:semiHidden/>
    <w:rsid w:val="0000654A"/>
    <w:rPr>
      <w:szCs w:val="20"/>
    </w:rPr>
  </w:style>
  <w:style w:type="paragraph" w:styleId="Kommentaremne">
    <w:name w:val="annotation subject"/>
    <w:basedOn w:val="Kommentartekst"/>
    <w:next w:val="Kommentartekst"/>
    <w:semiHidden/>
    <w:rsid w:val="0000654A"/>
    <w:rPr>
      <w:b/>
      <w:bCs/>
    </w:rPr>
  </w:style>
  <w:style w:type="paragraph" w:styleId="Dokumentoversigt">
    <w:name w:val="Document Map"/>
    <w:basedOn w:val="Normal"/>
    <w:semiHidden/>
    <w:rsid w:val="0000654A"/>
    <w:pPr>
      <w:shd w:val="clear" w:color="auto" w:fill="000080"/>
    </w:pPr>
    <w:rPr>
      <w:rFonts w:ascii="Tahoma" w:hAnsi="Tahoma" w:cs="Tahoma"/>
    </w:rPr>
  </w:style>
  <w:style w:type="table" w:styleId="Tabel-Gitter">
    <w:name w:val="Table Grid"/>
    <w:basedOn w:val="Tabel-Normal"/>
    <w:rsid w:val="00006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s">
    <w:name w:val="Labels"/>
    <w:basedOn w:val="Standardskrifttypeiafsnit"/>
    <w:uiPriority w:val="1"/>
    <w:semiHidden/>
    <w:qFormat/>
    <w:rsid w:val="00F76F59"/>
    <w:rPr>
      <w:b/>
      <w:caps/>
      <w:smallCaps w:val="0"/>
    </w:rPr>
  </w:style>
  <w:style w:type="character" w:customStyle="1" w:styleId="SidefodTegn">
    <w:name w:val="Sidefod Tegn"/>
    <w:basedOn w:val="Standardskrifttypeiafsnit"/>
    <w:link w:val="Sidefod"/>
    <w:semiHidden/>
    <w:rsid w:val="00F23837"/>
    <w:rPr>
      <w:rFonts w:ascii="Verdana" w:hAnsi="Verdana" w:cs="Arial"/>
      <w:noProof/>
      <w:color w:val="000000"/>
      <w:sz w:val="18"/>
      <w:szCs w:val="24"/>
    </w:rPr>
  </w:style>
  <w:style w:type="paragraph" w:customStyle="1" w:styleId="Dokumenttitel">
    <w:name w:val="Dokumenttitel"/>
    <w:basedOn w:val="Normal"/>
    <w:semiHidden/>
    <w:rsid w:val="00B57F80"/>
    <w:pPr>
      <w:spacing w:line="240" w:lineRule="auto"/>
    </w:pPr>
    <w:rPr>
      <w:rFonts w:cs="Times New Roman"/>
      <w:b/>
      <w:caps/>
      <w:color w:val="000000"/>
      <w:sz w:val="30"/>
    </w:rPr>
  </w:style>
  <w:style w:type="paragraph" w:styleId="Fodnotetekst">
    <w:name w:val="footnote text"/>
    <w:basedOn w:val="Normal"/>
    <w:link w:val="FodnotetekstTegn"/>
    <w:semiHidden/>
    <w:unhideWhenUsed/>
    <w:rsid w:val="004075F5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semiHidden/>
    <w:rsid w:val="004075F5"/>
    <w:rPr>
      <w:rFonts w:ascii="Verdana" w:hAnsi="Verdana" w:cs="Arial"/>
    </w:rPr>
  </w:style>
  <w:style w:type="character" w:styleId="Fodnotehenvisning">
    <w:name w:val="footnote reference"/>
    <w:basedOn w:val="Standardskrifttypeiafsnit"/>
    <w:semiHidden/>
    <w:unhideWhenUsed/>
    <w:rsid w:val="004075F5"/>
    <w:rPr>
      <w:vertAlign w:val="superscript"/>
    </w:rPr>
  </w:style>
  <w:style w:type="paragraph" w:styleId="Listeafsnit">
    <w:name w:val="List Paragraph"/>
    <w:basedOn w:val="Normal"/>
    <w:uiPriority w:val="34"/>
    <w:rsid w:val="005F1277"/>
    <w:pPr>
      <w:ind w:left="720"/>
      <w:contextualSpacing/>
    </w:pPr>
  </w:style>
  <w:style w:type="paragraph" w:styleId="Korrektur">
    <w:name w:val="Revision"/>
    <w:hidden/>
    <w:uiPriority w:val="99"/>
    <w:semiHidden/>
    <w:rsid w:val="007C3E7F"/>
    <w:rPr>
      <w:rFonts w:ascii="Verdana" w:hAnsi="Verdana" w:cs="Arial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sa\AppData\Roaming\Microsoft\Templates\DANVA%207.15.%20notat.dotm" TargetMode="External"/></Relationships>
</file>

<file path=word/theme/theme1.xml><?xml version="1.0" encoding="utf-8"?>
<a:theme xmlns:a="http://schemas.openxmlformats.org/drawingml/2006/main" name="Office Theme">
  <a:themeElements>
    <a:clrScheme name="DANVA">
      <a:dk1>
        <a:sysClr val="windowText" lastClr="000000"/>
      </a:dk1>
      <a:lt1>
        <a:sysClr val="window" lastClr="FFFFFF"/>
      </a:lt1>
      <a:dk2>
        <a:srgbClr val="1F497D"/>
      </a:dk2>
      <a:lt2>
        <a:srgbClr val="938953"/>
      </a:lt2>
      <a:accent1>
        <a:srgbClr val="1F497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5355C-A3A2-4354-A3BF-723551DC6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DANVA 7.15. notat.dotm</Template>
  <TotalTime>2</TotalTime>
  <Pages>4</Pages>
  <Words>1376</Words>
  <Characters>8396</Characters>
  <Application>Microsoft Office Word</Application>
  <DocSecurity>0</DocSecurity>
  <Lines>69</Lines>
  <Paragraphs>19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Notat</vt:lpstr>
      <vt:lpstr>(Overskrift)</vt:lpstr>
    </vt:vector>
  </TitlesOfParts>
  <Company>Word Specialisten v/Helle Nielsen</Company>
  <LinksUpToDate>false</LinksUpToDate>
  <CharactersWithSpaces>9753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creator>Hannah Scheel Andersen</dc:creator>
  <cp:lastModifiedBy>Hannah Scheel Andersen</cp:lastModifiedBy>
  <cp:revision>2</cp:revision>
  <cp:lastPrinted>2005-05-10T13:16:00Z</cp:lastPrinted>
  <dcterms:created xsi:type="dcterms:W3CDTF">2026-06-09T13:15:00Z</dcterms:created>
  <dcterms:modified xsi:type="dcterms:W3CDTF">2026-06-09T13:15:00Z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e">
    <vt:lpwstr>Notat</vt:lpwstr>
  </property>
  <property fmtid="{D5CDD505-2E9C-101B-9397-08002B2CF9AE}" pid="3" name="Filnavn">
    <vt:lpwstr>2026.05.19_Notat_SKELLET MELLEM OPLYSNINGER EFT</vt:lpwstr>
  </property>
</Properties>
</file>